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DE00" w14:textId="77393F63" w:rsidR="00C10992" w:rsidRPr="002F1E7E" w:rsidRDefault="00C10992" w:rsidP="007748F3">
      <w:pPr>
        <w:jc w:val="both"/>
        <w:rPr>
          <w:b/>
          <w:bCs/>
          <w:sz w:val="28"/>
          <w:szCs w:val="28"/>
          <w:u w:val="single"/>
        </w:rPr>
      </w:pPr>
      <w:r w:rsidRPr="002F1E7E">
        <w:rPr>
          <w:b/>
          <w:bCs/>
          <w:sz w:val="28"/>
          <w:szCs w:val="28"/>
          <w:u w:val="single"/>
        </w:rPr>
        <w:t>Chiarimenti in ordine alla proced</w:t>
      </w:r>
      <w:r w:rsidR="00B05A26" w:rsidRPr="002F1E7E">
        <w:rPr>
          <w:b/>
          <w:bCs/>
          <w:sz w:val="28"/>
          <w:szCs w:val="28"/>
          <w:u w:val="single"/>
        </w:rPr>
        <w:t>ur</w:t>
      </w:r>
      <w:r w:rsidRPr="002F1E7E">
        <w:rPr>
          <w:b/>
          <w:bCs/>
          <w:sz w:val="28"/>
          <w:szCs w:val="28"/>
          <w:u w:val="single"/>
        </w:rPr>
        <w:t>a e ai contenuti relativi alle Verifiche quindicennali dei distributori di carburanti di cui al decreto n. 8143 del 6 luglio 2017</w:t>
      </w:r>
    </w:p>
    <w:p w14:paraId="3212CBFF" w14:textId="1628B5C7" w:rsidR="00C10992" w:rsidRPr="002F1E7E" w:rsidRDefault="00C10992" w:rsidP="007748F3">
      <w:pPr>
        <w:jc w:val="both"/>
        <w:rPr>
          <w:b/>
          <w:bCs/>
          <w:u w:val="single"/>
        </w:rPr>
      </w:pPr>
    </w:p>
    <w:p w14:paraId="32D2595A" w14:textId="77C268D8" w:rsidR="00C10992" w:rsidRPr="002F1E7E" w:rsidRDefault="00C10992" w:rsidP="007748F3">
      <w:pPr>
        <w:jc w:val="both"/>
        <w:rPr>
          <w:i/>
          <w:iCs/>
          <w:sz w:val="24"/>
          <w:szCs w:val="24"/>
        </w:rPr>
      </w:pPr>
      <w:r w:rsidRPr="002F1E7E">
        <w:rPr>
          <w:i/>
          <w:iCs/>
          <w:sz w:val="24"/>
          <w:szCs w:val="24"/>
        </w:rPr>
        <w:t xml:space="preserve">In relazione alle verifiche quindicennali dei distributori di carburanti di cui al decreto </w:t>
      </w:r>
      <w:r w:rsidR="00B05A26" w:rsidRPr="002F1E7E">
        <w:rPr>
          <w:i/>
          <w:iCs/>
          <w:sz w:val="24"/>
          <w:szCs w:val="24"/>
        </w:rPr>
        <w:t>n</w:t>
      </w:r>
      <w:r w:rsidRPr="002F1E7E">
        <w:rPr>
          <w:i/>
          <w:iCs/>
          <w:sz w:val="24"/>
          <w:szCs w:val="24"/>
        </w:rPr>
        <w:t>. 8143 del 6 luglio 2017 di seguito si riportano alcuni chiarimenti normativi e procedurali.</w:t>
      </w:r>
    </w:p>
    <w:p w14:paraId="49698596" w14:textId="1AB68D7F" w:rsidR="00CF23F5" w:rsidRPr="002F1E7E" w:rsidRDefault="00C10992" w:rsidP="007748F3">
      <w:pPr>
        <w:jc w:val="both"/>
        <w:rPr>
          <w:i/>
          <w:iCs/>
          <w:sz w:val="24"/>
          <w:szCs w:val="24"/>
        </w:rPr>
      </w:pPr>
      <w:r w:rsidRPr="002F1E7E">
        <w:rPr>
          <w:i/>
          <w:iCs/>
          <w:sz w:val="24"/>
          <w:szCs w:val="24"/>
        </w:rPr>
        <w:t xml:space="preserve">Per ciò concerne il parere di competenza </w:t>
      </w:r>
      <w:r w:rsidR="00CF23F5" w:rsidRPr="002F1E7E">
        <w:rPr>
          <w:i/>
          <w:iCs/>
          <w:sz w:val="24"/>
          <w:szCs w:val="24"/>
        </w:rPr>
        <w:t xml:space="preserve">di </w:t>
      </w:r>
      <w:r w:rsidRPr="002F1E7E">
        <w:rPr>
          <w:i/>
          <w:iCs/>
          <w:sz w:val="24"/>
          <w:szCs w:val="24"/>
        </w:rPr>
        <w:t xml:space="preserve">ARPA che il </w:t>
      </w:r>
      <w:r w:rsidR="002F1E7E" w:rsidRPr="002F1E7E">
        <w:rPr>
          <w:i/>
          <w:iCs/>
          <w:sz w:val="24"/>
          <w:szCs w:val="24"/>
        </w:rPr>
        <w:t>C</w:t>
      </w:r>
      <w:r w:rsidRPr="002F1E7E">
        <w:rPr>
          <w:i/>
          <w:iCs/>
          <w:sz w:val="24"/>
          <w:szCs w:val="24"/>
        </w:rPr>
        <w:t xml:space="preserve">omune dopo la verifica formale </w:t>
      </w:r>
      <w:r w:rsidR="00CF23F5" w:rsidRPr="002F1E7E">
        <w:rPr>
          <w:i/>
          <w:iCs/>
          <w:sz w:val="24"/>
          <w:szCs w:val="24"/>
        </w:rPr>
        <w:t>può, motivandolo, richiedere si segnala che la stessa ARPA ritiene necessario esprimere proprio parere solo nei seguenti casi:</w:t>
      </w:r>
    </w:p>
    <w:p w14:paraId="02F9FB23" w14:textId="3D6D7B08" w:rsidR="00C10992" w:rsidRPr="002F1E7E" w:rsidRDefault="007748F3" w:rsidP="007748F3">
      <w:pPr>
        <w:pStyle w:val="Paragrafoelenco"/>
        <w:numPr>
          <w:ilvl w:val="0"/>
          <w:numId w:val="11"/>
        </w:numPr>
        <w:jc w:val="both"/>
        <w:rPr>
          <w:i/>
          <w:iCs/>
          <w:sz w:val="24"/>
          <w:szCs w:val="24"/>
        </w:rPr>
      </w:pPr>
      <w:r w:rsidRPr="002F1E7E">
        <w:rPr>
          <w:i/>
          <w:iCs/>
          <w:sz w:val="24"/>
          <w:szCs w:val="24"/>
        </w:rPr>
        <w:t>Impianti che siano stati oggetto di segnalazioni per conclamate molestie olfattive ad una porzione significativa di popolazione;</w:t>
      </w:r>
    </w:p>
    <w:p w14:paraId="2C15BF58" w14:textId="0A2AEBB0" w:rsidR="007748F3" w:rsidRPr="002F1E7E" w:rsidRDefault="007748F3" w:rsidP="007748F3">
      <w:pPr>
        <w:pStyle w:val="Paragrafoelenco"/>
        <w:numPr>
          <w:ilvl w:val="0"/>
          <w:numId w:val="11"/>
        </w:numPr>
        <w:jc w:val="both"/>
        <w:rPr>
          <w:i/>
          <w:iCs/>
          <w:sz w:val="24"/>
          <w:szCs w:val="24"/>
        </w:rPr>
      </w:pPr>
      <w:r w:rsidRPr="002F1E7E">
        <w:rPr>
          <w:i/>
          <w:iCs/>
          <w:sz w:val="24"/>
          <w:szCs w:val="24"/>
        </w:rPr>
        <w:t>Impianti che recapitano le acque meteoriche di dilavamento delle superfici in corpo idrico superficiale.</w:t>
      </w:r>
    </w:p>
    <w:p w14:paraId="0470902A" w14:textId="24B39D22" w:rsidR="00AA44AF" w:rsidRPr="002F1E7E" w:rsidRDefault="007748F3" w:rsidP="007748F3">
      <w:pPr>
        <w:jc w:val="both"/>
        <w:rPr>
          <w:b/>
          <w:bCs/>
          <w:i/>
          <w:iCs/>
          <w:sz w:val="24"/>
          <w:szCs w:val="24"/>
        </w:rPr>
      </w:pPr>
      <w:r w:rsidRPr="002F1E7E">
        <w:rPr>
          <w:i/>
          <w:iCs/>
          <w:sz w:val="24"/>
          <w:szCs w:val="24"/>
        </w:rPr>
        <w:t>Riguardo gli altri fattori di valutazione, al fine di agevolare l’istruttoria formale dei Comuni, si riportano alcuni c</w:t>
      </w:r>
      <w:r w:rsidR="00BB6569" w:rsidRPr="002F1E7E">
        <w:rPr>
          <w:i/>
          <w:iCs/>
          <w:sz w:val="24"/>
          <w:szCs w:val="24"/>
        </w:rPr>
        <w:t xml:space="preserve">hiarimenti normativi </w:t>
      </w:r>
      <w:r w:rsidR="006F2855" w:rsidRPr="002F1E7E">
        <w:rPr>
          <w:i/>
          <w:iCs/>
          <w:sz w:val="24"/>
          <w:szCs w:val="24"/>
        </w:rPr>
        <w:t>e procedurali</w:t>
      </w:r>
      <w:r w:rsidR="009714A4" w:rsidRPr="002F1E7E">
        <w:rPr>
          <w:b/>
          <w:bCs/>
          <w:i/>
          <w:iCs/>
          <w:sz w:val="24"/>
          <w:szCs w:val="24"/>
        </w:rPr>
        <w:t xml:space="preserve"> </w:t>
      </w:r>
    </w:p>
    <w:p w14:paraId="5364F546" w14:textId="63D6059D" w:rsidR="00866DA2" w:rsidRPr="008B1906" w:rsidRDefault="003620B8" w:rsidP="004C758C">
      <w:pPr>
        <w:jc w:val="both"/>
        <w:rPr>
          <w:b/>
          <w:bCs/>
          <w:highlight w:val="lightGray"/>
          <w:u w:val="single"/>
        </w:rPr>
      </w:pPr>
      <w:r w:rsidRPr="008B1906">
        <w:rPr>
          <w:b/>
          <w:bCs/>
          <w:highlight w:val="lightGray"/>
        </w:rPr>
        <w:t xml:space="preserve">I </w:t>
      </w:r>
      <w:r w:rsidR="001B50A4" w:rsidRPr="008B1906">
        <w:rPr>
          <w:b/>
          <w:bCs/>
          <w:highlight w:val="lightGray"/>
        </w:rPr>
        <w:t xml:space="preserve">documenti che il Comune </w:t>
      </w:r>
      <w:r w:rsidR="0074531F" w:rsidRPr="008B1906">
        <w:rPr>
          <w:b/>
          <w:bCs/>
          <w:highlight w:val="lightGray"/>
        </w:rPr>
        <w:t xml:space="preserve">per buona prassi </w:t>
      </w:r>
      <w:r w:rsidR="001B50A4" w:rsidRPr="008B1906">
        <w:rPr>
          <w:b/>
          <w:bCs/>
          <w:highlight w:val="lightGray"/>
        </w:rPr>
        <w:t>dovrebbe acquisire</w:t>
      </w:r>
      <w:r w:rsidR="009C1E8B" w:rsidRPr="008B1906">
        <w:rPr>
          <w:highlight w:val="lightGray"/>
        </w:rPr>
        <w:t xml:space="preserve"> </w:t>
      </w:r>
      <w:r w:rsidR="001B50A4" w:rsidRPr="008B1906">
        <w:rPr>
          <w:highlight w:val="lightGray"/>
        </w:rPr>
        <w:t xml:space="preserve">per una gestione </w:t>
      </w:r>
      <w:r w:rsidR="00473052" w:rsidRPr="008B1906">
        <w:rPr>
          <w:highlight w:val="lightGray"/>
        </w:rPr>
        <w:t>completa</w:t>
      </w:r>
      <w:r w:rsidR="001B50A4" w:rsidRPr="008B1906">
        <w:rPr>
          <w:highlight w:val="lightGray"/>
        </w:rPr>
        <w:t xml:space="preserve"> </w:t>
      </w:r>
      <w:r w:rsidR="00F75CE1" w:rsidRPr="008B1906">
        <w:rPr>
          <w:highlight w:val="lightGray"/>
        </w:rPr>
        <w:t xml:space="preserve">(sotto il profilo ambientale) </w:t>
      </w:r>
      <w:r w:rsidR="001B50A4" w:rsidRPr="008B1906">
        <w:rPr>
          <w:highlight w:val="lightGray"/>
        </w:rPr>
        <w:t>della singola pratica</w:t>
      </w:r>
      <w:r w:rsidR="00FD17C2" w:rsidRPr="008B1906">
        <w:rPr>
          <w:highlight w:val="lightGray"/>
        </w:rPr>
        <w:t xml:space="preserve"> </w:t>
      </w:r>
      <w:r w:rsidRPr="008B1906">
        <w:rPr>
          <w:highlight w:val="lightGray"/>
        </w:rPr>
        <w:t>sono riassunti nei seguenti punti:</w:t>
      </w:r>
    </w:p>
    <w:p w14:paraId="708D40A2" w14:textId="50DE1CC7" w:rsidR="004A6FAB" w:rsidRPr="008B1906" w:rsidRDefault="00CF455F" w:rsidP="0074531F">
      <w:pPr>
        <w:pStyle w:val="Paragrafoelenco"/>
        <w:numPr>
          <w:ilvl w:val="0"/>
          <w:numId w:val="12"/>
        </w:numPr>
        <w:spacing w:after="0" w:line="240" w:lineRule="auto"/>
        <w:contextualSpacing w:val="0"/>
        <w:jc w:val="both"/>
        <w:rPr>
          <w:rFonts w:eastAsia="Times New Roman"/>
          <w:highlight w:val="lightGray"/>
        </w:rPr>
      </w:pPr>
      <w:r w:rsidRPr="008B1906">
        <w:rPr>
          <w:rFonts w:eastAsia="Times New Roman"/>
          <w:b/>
          <w:bCs/>
          <w:highlight w:val="lightGray"/>
        </w:rPr>
        <w:t xml:space="preserve">planimetria con la configurazione del P.V. alla data di primo collaudo </w:t>
      </w:r>
      <w:r w:rsidR="00473052" w:rsidRPr="008B1906">
        <w:rPr>
          <w:rFonts w:eastAsia="Times New Roman"/>
          <w:b/>
          <w:bCs/>
          <w:highlight w:val="lightGray"/>
        </w:rPr>
        <w:t>e relativo atto autorizzativo</w:t>
      </w:r>
      <w:r w:rsidR="00B05A26" w:rsidRPr="008B1906">
        <w:rPr>
          <w:rFonts w:eastAsia="Times New Roman"/>
          <w:b/>
          <w:bCs/>
          <w:highlight w:val="lightGray"/>
        </w:rPr>
        <w:t xml:space="preserve"> </w:t>
      </w:r>
      <w:r w:rsidR="00B05A26" w:rsidRPr="008B1906">
        <w:rPr>
          <w:rFonts w:eastAsia="Times New Roman"/>
          <w:highlight w:val="lightGray"/>
        </w:rPr>
        <w:t>(</w:t>
      </w:r>
      <w:r w:rsidR="004A6FAB" w:rsidRPr="008B1906">
        <w:rPr>
          <w:rFonts w:eastAsia="Times New Roman"/>
          <w:highlight w:val="lightGray"/>
        </w:rPr>
        <w:t xml:space="preserve">se non già in disponibilità del Comune e recuperabile); </w:t>
      </w:r>
    </w:p>
    <w:p w14:paraId="1A7CD058" w14:textId="75F5816E" w:rsidR="00967D2C" w:rsidRPr="008B1906" w:rsidRDefault="00CF455F" w:rsidP="0074531F">
      <w:pPr>
        <w:pStyle w:val="Paragrafoelenco"/>
        <w:numPr>
          <w:ilvl w:val="0"/>
          <w:numId w:val="12"/>
        </w:numPr>
        <w:spacing w:after="0" w:line="240" w:lineRule="auto"/>
        <w:contextualSpacing w:val="0"/>
        <w:jc w:val="both"/>
        <w:rPr>
          <w:rFonts w:eastAsia="Times New Roman"/>
          <w:highlight w:val="lightGray"/>
        </w:rPr>
      </w:pPr>
      <w:r w:rsidRPr="008B1906">
        <w:rPr>
          <w:rFonts w:eastAsia="Times New Roman"/>
          <w:b/>
          <w:bCs/>
          <w:highlight w:val="lightGray"/>
        </w:rPr>
        <w:t>eventuali modifiche intervenute nel tempo</w:t>
      </w:r>
      <w:r w:rsidRPr="008B1906">
        <w:rPr>
          <w:rFonts w:eastAsia="Times New Roman"/>
          <w:highlight w:val="lightGray"/>
        </w:rPr>
        <w:t>, anche soggette a sola Comunicazione</w:t>
      </w:r>
      <w:r w:rsidR="0063257F" w:rsidRPr="008B1906">
        <w:rPr>
          <w:rFonts w:eastAsia="Times New Roman"/>
          <w:highlight w:val="lightGray"/>
        </w:rPr>
        <w:t xml:space="preserve"> (</w:t>
      </w:r>
      <w:r w:rsidR="00B05A26" w:rsidRPr="008B1906">
        <w:rPr>
          <w:rFonts w:eastAsia="Times New Roman"/>
          <w:highlight w:val="lightGray"/>
        </w:rPr>
        <w:t xml:space="preserve">se non </w:t>
      </w:r>
      <w:r w:rsidR="0063257F" w:rsidRPr="008B1906">
        <w:rPr>
          <w:rFonts w:eastAsia="Times New Roman"/>
          <w:highlight w:val="lightGray"/>
        </w:rPr>
        <w:t>già in disp</w:t>
      </w:r>
      <w:r w:rsidR="00B05A26" w:rsidRPr="008B1906">
        <w:rPr>
          <w:rFonts w:eastAsia="Times New Roman"/>
          <w:highlight w:val="lightGray"/>
        </w:rPr>
        <w:t>onibilità</w:t>
      </w:r>
      <w:r w:rsidR="0063257F" w:rsidRPr="008B1906">
        <w:rPr>
          <w:rFonts w:eastAsia="Times New Roman"/>
          <w:highlight w:val="lightGray"/>
        </w:rPr>
        <w:t xml:space="preserve"> del Comune)</w:t>
      </w:r>
      <w:r w:rsidR="00866DA2" w:rsidRPr="008B1906">
        <w:rPr>
          <w:rFonts w:eastAsia="Times New Roman"/>
          <w:highlight w:val="lightGray"/>
        </w:rPr>
        <w:t xml:space="preserve">; </w:t>
      </w:r>
    </w:p>
    <w:p w14:paraId="3D5CED64" w14:textId="098E09DF" w:rsidR="00967D2C" w:rsidRPr="008B1906" w:rsidRDefault="00CF455F" w:rsidP="0074531F">
      <w:pPr>
        <w:pStyle w:val="Paragrafoelenco"/>
        <w:numPr>
          <w:ilvl w:val="0"/>
          <w:numId w:val="12"/>
        </w:numPr>
        <w:spacing w:after="0" w:line="240" w:lineRule="auto"/>
        <w:contextualSpacing w:val="0"/>
        <w:jc w:val="both"/>
        <w:rPr>
          <w:rFonts w:eastAsia="Times New Roman"/>
          <w:highlight w:val="lightGray"/>
        </w:rPr>
      </w:pPr>
      <w:r w:rsidRPr="008B1906">
        <w:rPr>
          <w:rFonts w:eastAsia="Times New Roman"/>
          <w:b/>
          <w:bCs/>
          <w:highlight w:val="lightGray"/>
        </w:rPr>
        <w:t>planimetria con la configurazione del P.V. alla data odierna</w:t>
      </w:r>
      <w:r w:rsidRPr="008B1906">
        <w:rPr>
          <w:rFonts w:eastAsia="Times New Roman"/>
          <w:highlight w:val="lightGray"/>
        </w:rPr>
        <w:t xml:space="preserve"> (se variata), con precis</w:t>
      </w:r>
      <w:r w:rsidR="00CE084B" w:rsidRPr="008B1906">
        <w:rPr>
          <w:rFonts w:eastAsia="Times New Roman"/>
          <w:highlight w:val="lightGray"/>
        </w:rPr>
        <w:t>i riferiment</w:t>
      </w:r>
      <w:r w:rsidR="000206C7" w:rsidRPr="008B1906">
        <w:rPr>
          <w:rFonts w:eastAsia="Times New Roman"/>
          <w:highlight w:val="lightGray"/>
        </w:rPr>
        <w:t>i</w:t>
      </w:r>
      <w:r w:rsidR="00CE084B" w:rsidRPr="008B1906">
        <w:rPr>
          <w:rFonts w:eastAsia="Times New Roman"/>
          <w:highlight w:val="lightGray"/>
        </w:rPr>
        <w:t xml:space="preserve"> </w:t>
      </w:r>
      <w:r w:rsidRPr="008B1906">
        <w:rPr>
          <w:rFonts w:eastAsia="Times New Roman"/>
          <w:highlight w:val="lightGray"/>
        </w:rPr>
        <w:t>a</w:t>
      </w:r>
      <w:r w:rsidR="00CE084B" w:rsidRPr="008B1906">
        <w:rPr>
          <w:rFonts w:eastAsia="Times New Roman"/>
          <w:highlight w:val="lightGray"/>
        </w:rPr>
        <w:t xml:space="preserve">i combustibili contenuti nei </w:t>
      </w:r>
      <w:r w:rsidR="000206C7" w:rsidRPr="008B1906">
        <w:rPr>
          <w:rFonts w:eastAsia="Times New Roman"/>
          <w:highlight w:val="lightGray"/>
        </w:rPr>
        <w:t xml:space="preserve">singoli </w:t>
      </w:r>
      <w:r w:rsidR="00CE084B" w:rsidRPr="008B1906">
        <w:rPr>
          <w:rFonts w:eastAsia="Times New Roman"/>
          <w:highlight w:val="lightGray"/>
        </w:rPr>
        <w:t>serbatoi interrati e riferimenti (numeri o lettere) ai documenti successivamente elencati</w:t>
      </w:r>
      <w:r w:rsidRPr="008B1906">
        <w:rPr>
          <w:rFonts w:eastAsia="Times New Roman"/>
          <w:highlight w:val="lightGray"/>
        </w:rPr>
        <w:t xml:space="preserve"> </w:t>
      </w:r>
      <w:r w:rsidR="00967D2C" w:rsidRPr="008B1906">
        <w:rPr>
          <w:rFonts w:eastAsia="Times New Roman"/>
          <w:highlight w:val="lightGray"/>
        </w:rPr>
        <w:t>(</w:t>
      </w:r>
      <w:proofErr w:type="spellStart"/>
      <w:r w:rsidR="006B6898" w:rsidRPr="008B1906">
        <w:rPr>
          <w:rFonts w:eastAsia="Times New Roman"/>
          <w:b/>
          <w:bCs/>
          <w:highlight w:val="lightGray"/>
          <w:u w:val="single"/>
        </w:rPr>
        <w:t>rif</w:t>
      </w:r>
      <w:r w:rsidR="00967D2C" w:rsidRPr="008B1906">
        <w:rPr>
          <w:rFonts w:eastAsia="Times New Roman"/>
          <w:b/>
          <w:bCs/>
          <w:highlight w:val="lightGray"/>
          <w:u w:val="single"/>
        </w:rPr>
        <w:t>.</w:t>
      </w:r>
      <w:proofErr w:type="spellEnd"/>
      <w:r w:rsidR="00967D2C" w:rsidRPr="008B1906">
        <w:rPr>
          <w:rFonts w:eastAsia="Times New Roman"/>
          <w:highlight w:val="lightGray"/>
        </w:rPr>
        <w:t xml:space="preserve"> </w:t>
      </w:r>
      <w:r w:rsidR="00967D2C" w:rsidRPr="008B1906">
        <w:rPr>
          <w:b/>
          <w:bCs/>
          <w:highlight w:val="lightGray"/>
          <w:u w:val="single"/>
        </w:rPr>
        <w:t>4-SAN/AMB</w:t>
      </w:r>
      <w:r w:rsidR="00967D2C" w:rsidRPr="008B1906">
        <w:rPr>
          <w:rFonts w:eastAsia="Times New Roman"/>
          <w:b/>
          <w:bCs/>
          <w:highlight w:val="lightGray"/>
        </w:rPr>
        <w:t xml:space="preserve"> per i punti 1, 2, 3)</w:t>
      </w:r>
      <w:r w:rsidR="0063257F" w:rsidRPr="008B1906">
        <w:rPr>
          <w:rFonts w:eastAsia="Times New Roman"/>
          <w:b/>
          <w:bCs/>
          <w:highlight w:val="lightGray"/>
        </w:rPr>
        <w:t xml:space="preserve">   </w:t>
      </w:r>
    </w:p>
    <w:p w14:paraId="1AB9CF01" w14:textId="77777777" w:rsidR="00FD17C2" w:rsidRPr="008B1906" w:rsidRDefault="00FD17C2" w:rsidP="008D7291">
      <w:pPr>
        <w:spacing w:after="0" w:line="240" w:lineRule="auto"/>
        <w:ind w:left="360"/>
        <w:jc w:val="both"/>
        <w:rPr>
          <w:rFonts w:eastAsia="Times New Roman"/>
          <w:highlight w:val="lightGray"/>
        </w:rPr>
      </w:pPr>
    </w:p>
    <w:p w14:paraId="50D3747A" w14:textId="30DFFCBD" w:rsidR="008D7291" w:rsidRPr="002F1E7E" w:rsidRDefault="008D7291" w:rsidP="008D7291">
      <w:pPr>
        <w:spacing w:after="0" w:line="240" w:lineRule="auto"/>
        <w:ind w:left="360"/>
        <w:jc w:val="both"/>
        <w:rPr>
          <w:rFonts w:eastAsia="Times New Roman"/>
        </w:rPr>
      </w:pPr>
      <w:r w:rsidRPr="008B1906">
        <w:rPr>
          <w:rFonts w:eastAsia="Times New Roman"/>
          <w:b/>
          <w:bCs/>
          <w:highlight w:val="lightGray"/>
        </w:rPr>
        <w:t>[punti 1, 2, 3</w:t>
      </w:r>
      <w:r w:rsidRPr="008B1906">
        <w:rPr>
          <w:rFonts w:eastAsia="Times New Roman"/>
          <w:highlight w:val="lightGray"/>
        </w:rPr>
        <w:t>: questa documentazione costituisce il punto di partenza del fascicolo comunale</w:t>
      </w:r>
      <w:r w:rsidR="00FD17C2" w:rsidRPr="008B1906">
        <w:rPr>
          <w:rFonts w:eastAsia="Times New Roman"/>
          <w:highlight w:val="lightGray"/>
        </w:rPr>
        <w:t xml:space="preserve"> che</w:t>
      </w:r>
      <w:r w:rsidR="0074531F" w:rsidRPr="008B1906">
        <w:rPr>
          <w:rFonts w:eastAsia="Times New Roman"/>
          <w:highlight w:val="lightGray"/>
        </w:rPr>
        <w:t xml:space="preserve"> per buona prassi </w:t>
      </w:r>
      <w:r w:rsidR="008B1906" w:rsidRPr="008B1906">
        <w:rPr>
          <w:rFonts w:eastAsia="Times New Roman"/>
          <w:highlight w:val="lightGray"/>
        </w:rPr>
        <w:t xml:space="preserve">è </w:t>
      </w:r>
      <w:r w:rsidR="00FD17C2" w:rsidRPr="008B1906">
        <w:rPr>
          <w:rFonts w:eastAsia="Times New Roman"/>
          <w:highlight w:val="lightGray"/>
        </w:rPr>
        <w:t>opportun</w:t>
      </w:r>
      <w:r w:rsidR="0074531F" w:rsidRPr="008B1906">
        <w:rPr>
          <w:rFonts w:eastAsia="Times New Roman"/>
          <w:highlight w:val="lightGray"/>
        </w:rPr>
        <w:t>o</w:t>
      </w:r>
      <w:r w:rsidR="00FD17C2" w:rsidRPr="008B1906">
        <w:rPr>
          <w:rFonts w:eastAsia="Times New Roman"/>
          <w:highlight w:val="lightGray"/>
        </w:rPr>
        <w:t xml:space="preserve"> acquisire </w:t>
      </w:r>
      <w:r w:rsidR="0074531F" w:rsidRPr="008B1906">
        <w:rPr>
          <w:rFonts w:eastAsia="Times New Roman"/>
          <w:highlight w:val="lightGray"/>
        </w:rPr>
        <w:t xml:space="preserve">da parte del Comune </w:t>
      </w:r>
      <w:r w:rsidR="00FD17C2" w:rsidRPr="008B1906">
        <w:rPr>
          <w:highlight w:val="lightGray"/>
        </w:rPr>
        <w:t>oltre a quelli presenti nell’Elenco delle certificazioni di cui al decreto n. 8143 del 6 luglio 2017 e di seguito individuati con il Codice di Riferimento documento</w:t>
      </w:r>
      <w:r w:rsidRPr="008B1906">
        <w:rPr>
          <w:rFonts w:eastAsia="Times New Roman"/>
          <w:highlight w:val="lightGray"/>
        </w:rPr>
        <w:t>]</w:t>
      </w:r>
    </w:p>
    <w:p w14:paraId="1CF3CF5E" w14:textId="77777777" w:rsidR="00FD17C2" w:rsidRPr="008D7291" w:rsidRDefault="00FD17C2" w:rsidP="008D7291">
      <w:pPr>
        <w:spacing w:after="0" w:line="240" w:lineRule="auto"/>
        <w:ind w:left="360"/>
        <w:jc w:val="both"/>
        <w:rPr>
          <w:rFonts w:eastAsia="Times New Roman"/>
        </w:rPr>
      </w:pPr>
    </w:p>
    <w:p w14:paraId="245F5E84" w14:textId="00B1C12B" w:rsidR="00CF455F" w:rsidRDefault="004C67B2" w:rsidP="004C67B2">
      <w:pPr>
        <w:spacing w:after="0" w:line="240" w:lineRule="auto"/>
        <w:jc w:val="both"/>
        <w:rPr>
          <w:rFonts w:eastAsia="Times New Roman"/>
          <w:b/>
          <w:bCs/>
        </w:rPr>
      </w:pPr>
      <w:r>
        <w:rPr>
          <w:rFonts w:eastAsia="Times New Roman"/>
          <w:b/>
          <w:bCs/>
        </w:rPr>
        <w:t>C</w:t>
      </w:r>
      <w:r w:rsidR="00CF455F" w:rsidRPr="004C67B2">
        <w:rPr>
          <w:rFonts w:eastAsia="Times New Roman"/>
          <w:b/>
          <w:bCs/>
        </w:rPr>
        <w:t xml:space="preserve">aratteristiche </w:t>
      </w:r>
      <w:r w:rsidR="00254AE9" w:rsidRPr="004C67B2">
        <w:rPr>
          <w:rFonts w:eastAsia="Times New Roman"/>
          <w:b/>
          <w:bCs/>
        </w:rPr>
        <w:t xml:space="preserve">di ciascuno </w:t>
      </w:r>
      <w:r w:rsidR="00CF455F" w:rsidRPr="004C67B2">
        <w:rPr>
          <w:rFonts w:eastAsia="Times New Roman"/>
          <w:b/>
          <w:bCs/>
        </w:rPr>
        <w:t xml:space="preserve">dei serbatoi interrati attualmente installati </w:t>
      </w:r>
      <w:r w:rsidR="00CE084B" w:rsidRPr="004C67B2">
        <w:rPr>
          <w:rFonts w:eastAsia="Times New Roman"/>
          <w:b/>
          <w:bCs/>
        </w:rPr>
        <w:t>e dei sistemi collegati</w:t>
      </w:r>
    </w:p>
    <w:p w14:paraId="3E4C2C38" w14:textId="77777777" w:rsidR="004C67B2" w:rsidRPr="004C67B2" w:rsidRDefault="004C67B2" w:rsidP="004C67B2">
      <w:pPr>
        <w:spacing w:after="0" w:line="240" w:lineRule="auto"/>
        <w:jc w:val="both"/>
        <w:rPr>
          <w:rFonts w:eastAsia="Times New Roman"/>
          <w:b/>
          <w:bCs/>
        </w:rPr>
      </w:pPr>
    </w:p>
    <w:p w14:paraId="79B9B090" w14:textId="4C271FAA" w:rsidR="00CF455F" w:rsidRPr="0003665E" w:rsidRDefault="00821A96" w:rsidP="00336ACE">
      <w:pPr>
        <w:pStyle w:val="Paragrafoelenco"/>
        <w:numPr>
          <w:ilvl w:val="1"/>
          <w:numId w:val="4"/>
        </w:numPr>
        <w:spacing w:after="0" w:line="240" w:lineRule="auto"/>
        <w:contextualSpacing w:val="0"/>
        <w:jc w:val="both"/>
        <w:rPr>
          <w:rFonts w:eastAsia="Times New Roman"/>
        </w:rPr>
      </w:pPr>
      <w:r>
        <w:rPr>
          <w:rFonts w:eastAsia="Times New Roman"/>
          <w:b/>
          <w:bCs/>
        </w:rPr>
        <w:t>M</w:t>
      </w:r>
      <w:r w:rsidR="00CF455F" w:rsidRPr="0003665E">
        <w:rPr>
          <w:rFonts w:eastAsia="Times New Roman"/>
          <w:b/>
          <w:bCs/>
        </w:rPr>
        <w:t xml:space="preserve">ateriale </w:t>
      </w:r>
      <w:r w:rsidR="00473052" w:rsidRPr="0003665E">
        <w:rPr>
          <w:rFonts w:eastAsia="Times New Roman"/>
          <w:b/>
          <w:bCs/>
        </w:rPr>
        <w:t xml:space="preserve">di costruzione </w:t>
      </w:r>
      <w:r w:rsidR="00CF455F" w:rsidRPr="0003665E">
        <w:rPr>
          <w:rFonts w:eastAsia="Times New Roman"/>
          <w:b/>
          <w:bCs/>
        </w:rPr>
        <w:t>e tipologia</w:t>
      </w:r>
      <w:r w:rsidR="00CF455F" w:rsidRPr="0003665E">
        <w:rPr>
          <w:rFonts w:eastAsia="Times New Roman"/>
        </w:rPr>
        <w:t xml:space="preserve"> (parete singola o doppia)</w:t>
      </w:r>
    </w:p>
    <w:p w14:paraId="3D00C1EF" w14:textId="7299FE02" w:rsidR="001E2EF1" w:rsidRDefault="00646C04" w:rsidP="003620B8">
      <w:pPr>
        <w:pStyle w:val="Paragrafoelenco"/>
        <w:numPr>
          <w:ilvl w:val="2"/>
          <w:numId w:val="7"/>
        </w:numPr>
        <w:spacing w:after="0" w:line="240" w:lineRule="auto"/>
        <w:contextualSpacing w:val="0"/>
        <w:jc w:val="both"/>
        <w:rPr>
          <w:rFonts w:eastAsia="Times New Roman"/>
        </w:rPr>
      </w:pPr>
      <w:r w:rsidRPr="0003665E">
        <w:rPr>
          <w:rFonts w:eastAsia="Times New Roman"/>
        </w:rPr>
        <w:t xml:space="preserve">la doppia parete è prescritta dal </w:t>
      </w:r>
      <w:r w:rsidRPr="00FF13E0">
        <w:rPr>
          <w:rFonts w:eastAsia="Times New Roman"/>
          <w:b/>
          <w:bCs/>
        </w:rPr>
        <w:t xml:space="preserve">RLI </w:t>
      </w:r>
      <w:r w:rsidR="00BF7CFE" w:rsidRPr="00FF13E0">
        <w:rPr>
          <w:rFonts w:eastAsia="Times New Roman"/>
          <w:b/>
          <w:bCs/>
        </w:rPr>
        <w:t>tipo di Regione Lombardia</w:t>
      </w:r>
      <w:r w:rsidR="00BF7CFE">
        <w:rPr>
          <w:rFonts w:eastAsia="Times New Roman"/>
        </w:rPr>
        <w:t xml:space="preserve">, </w:t>
      </w:r>
      <w:r w:rsidR="00BB7967">
        <w:rPr>
          <w:rFonts w:eastAsia="Times New Roman"/>
        </w:rPr>
        <w:t xml:space="preserve">punto 2.2.9 </w:t>
      </w:r>
      <w:r w:rsidR="000206C7">
        <w:rPr>
          <w:rFonts w:eastAsia="Times New Roman"/>
        </w:rPr>
        <w:t>(</w:t>
      </w:r>
      <w:r w:rsidR="000206C7">
        <w:rPr>
          <w:rFonts w:ascii="Times New Roman" w:eastAsia="Times New Roman" w:hAnsi="Times New Roman" w:cs="Times New Roman"/>
          <w:b/>
          <w:sz w:val="20"/>
          <w:szCs w:val="20"/>
          <w:lang w:eastAsia="it-IT"/>
        </w:rPr>
        <w:t xml:space="preserve">… </w:t>
      </w:r>
      <w:r w:rsidR="000206C7" w:rsidRPr="000206C7">
        <w:rPr>
          <w:rFonts w:eastAsia="Times New Roman"/>
          <w:i/>
          <w:iCs/>
        </w:rPr>
        <w:t>I nuovi serbatoi interrati, contenenti sostanze o prodotti infiammabili, devono essere costruiti con doppia parete con intercapedine a tenuta, in cui sia immesso gas che non formi miscele detonanti con le sostanze contenute ed in leggera pressione, controllabile</w:t>
      </w:r>
      <w:r w:rsidR="000206C7">
        <w:rPr>
          <w:rFonts w:eastAsia="Times New Roman"/>
          <w:i/>
          <w:iCs/>
        </w:rPr>
        <w:t xml:space="preserve"> </w:t>
      </w:r>
      <w:r w:rsidR="000206C7" w:rsidRPr="000206C7">
        <w:rPr>
          <w:rFonts w:eastAsia="Times New Roman"/>
          <w:i/>
          <w:iCs/>
        </w:rPr>
        <w:t>con un manometro</w:t>
      </w:r>
      <w:r w:rsidR="000206C7">
        <w:rPr>
          <w:rFonts w:ascii="Times New Roman" w:eastAsia="Times New Roman" w:hAnsi="Times New Roman" w:cs="Times New Roman"/>
          <w:b/>
          <w:sz w:val="20"/>
          <w:szCs w:val="20"/>
          <w:lang w:eastAsia="it-IT"/>
        </w:rPr>
        <w:t xml:space="preserve"> …</w:t>
      </w:r>
      <w:r w:rsidR="000206C7">
        <w:rPr>
          <w:rFonts w:eastAsia="Times New Roman"/>
        </w:rPr>
        <w:t>)</w:t>
      </w:r>
      <w:r w:rsidR="00BB7967">
        <w:rPr>
          <w:rFonts w:eastAsia="Times New Roman"/>
        </w:rPr>
        <w:t xml:space="preserve">. Il punto </w:t>
      </w:r>
      <w:r w:rsidR="00BB7967" w:rsidRPr="0003665E">
        <w:rPr>
          <w:rFonts w:eastAsia="Times New Roman"/>
        </w:rPr>
        <w:t>2.2.9</w:t>
      </w:r>
      <w:r w:rsidR="00BB7967">
        <w:rPr>
          <w:rFonts w:eastAsia="Times New Roman"/>
        </w:rPr>
        <w:t xml:space="preserve"> è tutt’ora vigente come specificato dalla nota congiunta DG Salute – DG Ambiente prot. T1.2015.0016687 del 31.3.2015;</w:t>
      </w:r>
    </w:p>
    <w:p w14:paraId="30F59FF1" w14:textId="77777777" w:rsidR="008D7291" w:rsidRDefault="001E2EF1" w:rsidP="008D7291">
      <w:pPr>
        <w:pStyle w:val="Paragrafoelenco"/>
        <w:numPr>
          <w:ilvl w:val="2"/>
          <w:numId w:val="7"/>
        </w:numPr>
        <w:spacing w:after="0" w:line="240" w:lineRule="auto"/>
        <w:contextualSpacing w:val="0"/>
        <w:jc w:val="both"/>
        <w:rPr>
          <w:rFonts w:eastAsia="Times New Roman"/>
        </w:rPr>
      </w:pPr>
      <w:r w:rsidRPr="0003665E">
        <w:rPr>
          <w:rFonts w:eastAsia="Times New Roman"/>
        </w:rPr>
        <w:t xml:space="preserve">la doppia parete è </w:t>
      </w:r>
      <w:r>
        <w:rPr>
          <w:rFonts w:eastAsia="Times New Roman"/>
        </w:rPr>
        <w:t xml:space="preserve">inoltre </w:t>
      </w:r>
      <w:r w:rsidRPr="0003665E">
        <w:rPr>
          <w:rFonts w:eastAsia="Times New Roman"/>
        </w:rPr>
        <w:t xml:space="preserve">prescritta </w:t>
      </w:r>
      <w:r w:rsidR="00BF7CFE">
        <w:rPr>
          <w:rFonts w:eastAsia="Times New Roman"/>
        </w:rPr>
        <w:t xml:space="preserve">dal </w:t>
      </w:r>
      <w:r w:rsidR="00BF7CFE" w:rsidRPr="00FF13E0">
        <w:rPr>
          <w:rFonts w:eastAsia="Times New Roman"/>
          <w:b/>
          <w:bCs/>
        </w:rPr>
        <w:t>DM 29.11.2002</w:t>
      </w:r>
      <w:r w:rsidR="00BF7CFE">
        <w:rPr>
          <w:rFonts w:eastAsia="Times New Roman"/>
        </w:rPr>
        <w:t>, art.2, c.2</w:t>
      </w:r>
      <w:r w:rsidR="000206C7">
        <w:rPr>
          <w:rFonts w:eastAsia="Times New Roman"/>
        </w:rPr>
        <w:t xml:space="preserve"> </w:t>
      </w:r>
      <w:r w:rsidR="00AE48DF" w:rsidRPr="00FE04A4">
        <w:t>per i nuovi serbatoi</w:t>
      </w:r>
      <w:r w:rsidR="00AE48DF">
        <w:rPr>
          <w:rFonts w:eastAsia="Times New Roman"/>
        </w:rPr>
        <w:t xml:space="preserve"> </w:t>
      </w:r>
      <w:r w:rsidR="000206C7">
        <w:rPr>
          <w:rFonts w:eastAsia="Times New Roman"/>
        </w:rPr>
        <w:t>(</w:t>
      </w:r>
      <w:r w:rsidR="000206C7" w:rsidRPr="000206C7">
        <w:rPr>
          <w:rFonts w:eastAsia="Times New Roman"/>
          <w:i/>
          <w:iCs/>
        </w:rPr>
        <w:t>I serbatoi interrati sono: a doppia parete e con sistema di monitoraggio in continuo dell'intercapedine …</w:t>
      </w:r>
      <w:r w:rsidR="000206C7">
        <w:rPr>
          <w:rFonts w:eastAsia="Times New Roman"/>
        </w:rPr>
        <w:t>)</w:t>
      </w:r>
      <w:r w:rsidR="006C70B6">
        <w:rPr>
          <w:rFonts w:eastAsia="Times New Roman"/>
        </w:rPr>
        <w:t>;</w:t>
      </w:r>
    </w:p>
    <w:p w14:paraId="585F4CCD" w14:textId="6D0D43F9" w:rsidR="008D7291" w:rsidRPr="008D7291" w:rsidRDefault="006C70B6" w:rsidP="008D7291">
      <w:pPr>
        <w:pStyle w:val="Paragrafoelenco"/>
        <w:numPr>
          <w:ilvl w:val="2"/>
          <w:numId w:val="7"/>
        </w:numPr>
        <w:spacing w:after="0" w:line="240" w:lineRule="auto"/>
        <w:contextualSpacing w:val="0"/>
        <w:jc w:val="both"/>
        <w:rPr>
          <w:rFonts w:eastAsia="Times New Roman"/>
        </w:rPr>
      </w:pPr>
      <w:r w:rsidRPr="008D7291">
        <w:rPr>
          <w:rFonts w:eastAsia="Times New Roman"/>
        </w:rPr>
        <w:t xml:space="preserve">la presenza </w:t>
      </w:r>
      <w:r w:rsidR="00EC39E9" w:rsidRPr="008D7291">
        <w:rPr>
          <w:rFonts w:eastAsia="Times New Roman"/>
        </w:rPr>
        <w:t>e la tipologia della</w:t>
      </w:r>
      <w:r w:rsidRPr="008D7291">
        <w:rPr>
          <w:rFonts w:eastAsia="Times New Roman"/>
        </w:rPr>
        <w:t xml:space="preserve"> doppia parete </w:t>
      </w:r>
      <w:r w:rsidR="00EC39E9" w:rsidRPr="008D7291">
        <w:rPr>
          <w:rFonts w:eastAsia="Times New Roman"/>
        </w:rPr>
        <w:t>sono</w:t>
      </w:r>
      <w:r w:rsidRPr="008D7291">
        <w:rPr>
          <w:rFonts w:eastAsia="Times New Roman"/>
        </w:rPr>
        <w:t xml:space="preserve"> quindi caratteristic</w:t>
      </w:r>
      <w:r w:rsidR="00EC39E9" w:rsidRPr="008D7291">
        <w:rPr>
          <w:rFonts w:eastAsia="Times New Roman"/>
        </w:rPr>
        <w:t>he</w:t>
      </w:r>
      <w:r w:rsidRPr="008D7291">
        <w:rPr>
          <w:rFonts w:eastAsia="Times New Roman"/>
        </w:rPr>
        <w:t xml:space="preserve"> fondamental</w:t>
      </w:r>
      <w:r w:rsidR="00EC39E9" w:rsidRPr="008D7291">
        <w:rPr>
          <w:rFonts w:eastAsia="Times New Roman"/>
        </w:rPr>
        <w:t>i</w:t>
      </w:r>
      <w:r w:rsidRPr="008D7291">
        <w:rPr>
          <w:rFonts w:eastAsia="Times New Roman"/>
        </w:rPr>
        <w:t xml:space="preserve"> che il Gestore o</w:t>
      </w:r>
      <w:r w:rsidR="00EC39E9" w:rsidRPr="008D7291">
        <w:rPr>
          <w:rFonts w:eastAsia="Times New Roman"/>
        </w:rPr>
        <w:t xml:space="preserve"> </w:t>
      </w:r>
      <w:r w:rsidRPr="008D7291">
        <w:rPr>
          <w:rFonts w:eastAsia="Times New Roman"/>
        </w:rPr>
        <w:t xml:space="preserve">la Proprietà devono </w:t>
      </w:r>
      <w:r w:rsidRPr="008D7291">
        <w:rPr>
          <w:rFonts w:eastAsia="Times New Roman"/>
          <w:u w:val="single"/>
        </w:rPr>
        <w:t>attestare</w:t>
      </w:r>
      <w:r w:rsidR="008D7291" w:rsidRPr="008D7291">
        <w:rPr>
          <w:rFonts w:eastAsia="Times New Roman"/>
        </w:rPr>
        <w:t>, non necessita nessuna valutazione.</w:t>
      </w:r>
    </w:p>
    <w:p w14:paraId="4DCFDF77" w14:textId="77777777" w:rsidR="00821A96" w:rsidRPr="00EC39E9" w:rsidRDefault="00821A96" w:rsidP="00967D2C">
      <w:pPr>
        <w:pStyle w:val="Paragrafoelenco"/>
        <w:numPr>
          <w:ilvl w:val="1"/>
          <w:numId w:val="4"/>
        </w:numPr>
        <w:spacing w:after="0" w:line="240" w:lineRule="auto"/>
        <w:contextualSpacing w:val="0"/>
        <w:jc w:val="both"/>
        <w:rPr>
          <w:rFonts w:eastAsia="Times New Roman"/>
          <w:b/>
          <w:bCs/>
        </w:rPr>
      </w:pPr>
      <w:r w:rsidRPr="00EC39E9">
        <w:rPr>
          <w:rFonts w:eastAsia="Times New Roman"/>
          <w:b/>
          <w:bCs/>
        </w:rPr>
        <w:t>S</w:t>
      </w:r>
      <w:r w:rsidR="00967D2C" w:rsidRPr="00EC39E9">
        <w:rPr>
          <w:rFonts w:eastAsia="Times New Roman"/>
          <w:b/>
          <w:bCs/>
        </w:rPr>
        <w:t>erbatoi trasformati a doppia parete</w:t>
      </w:r>
      <w:r w:rsidRPr="00EC39E9">
        <w:rPr>
          <w:rFonts w:eastAsia="Times New Roman"/>
          <w:b/>
          <w:bCs/>
        </w:rPr>
        <w:t xml:space="preserve">: </w:t>
      </w:r>
    </w:p>
    <w:p w14:paraId="04C869B5" w14:textId="77777777" w:rsidR="00EC39E9" w:rsidRDefault="00EC39E9" w:rsidP="00EC39E9">
      <w:pPr>
        <w:pStyle w:val="Paragrafoelenco"/>
        <w:numPr>
          <w:ilvl w:val="2"/>
          <w:numId w:val="4"/>
        </w:numPr>
        <w:jc w:val="both"/>
        <w:rPr>
          <w:rFonts w:eastAsia="Times New Roman"/>
          <w:b/>
          <w:bCs/>
        </w:rPr>
      </w:pPr>
      <w:r w:rsidRPr="00EC39E9">
        <w:rPr>
          <w:rFonts w:eastAsia="Times New Roman"/>
        </w:rPr>
        <w:lastRenderedPageBreak/>
        <w:t xml:space="preserve">Nel caso sia stata effettuata la trasformazione, il Gestore o la Proprietà devono presentare la </w:t>
      </w:r>
      <w:r w:rsidR="00967D2C" w:rsidRPr="00EC39E9">
        <w:rPr>
          <w:rFonts w:eastAsia="Times New Roman"/>
          <w:u w:val="single"/>
        </w:rPr>
        <w:t>relazione tecnica dell’intervento</w:t>
      </w:r>
      <w:r w:rsidR="00967D2C" w:rsidRPr="00EC39E9">
        <w:rPr>
          <w:rFonts w:eastAsia="Times New Roman"/>
        </w:rPr>
        <w:t>, specificando quale norma tecnica è stata seguita</w:t>
      </w:r>
      <w:r w:rsidR="00967D2C" w:rsidRPr="00EC39E9">
        <w:rPr>
          <w:rFonts w:eastAsia="Times New Roman"/>
          <w:b/>
          <w:bCs/>
        </w:rPr>
        <w:t xml:space="preserve"> </w:t>
      </w:r>
      <w:r w:rsidR="00967D2C" w:rsidRPr="002F1E7E">
        <w:rPr>
          <w:rFonts w:eastAsia="Times New Roman"/>
          <w:b/>
          <w:bCs/>
        </w:rPr>
        <w:t>(</w:t>
      </w:r>
      <w:proofErr w:type="spellStart"/>
      <w:r w:rsidR="006B6898" w:rsidRPr="002F1E7E">
        <w:rPr>
          <w:rFonts w:eastAsia="Times New Roman"/>
          <w:b/>
          <w:bCs/>
        </w:rPr>
        <w:t>rif</w:t>
      </w:r>
      <w:r w:rsidR="00967D2C" w:rsidRPr="002F1E7E">
        <w:rPr>
          <w:rFonts w:eastAsia="Times New Roman"/>
          <w:b/>
          <w:bCs/>
        </w:rPr>
        <w:t>.</w:t>
      </w:r>
      <w:proofErr w:type="spellEnd"/>
      <w:r w:rsidR="00967D2C" w:rsidRPr="002F1E7E">
        <w:rPr>
          <w:rFonts w:eastAsia="Times New Roman"/>
          <w:b/>
          <w:bCs/>
        </w:rPr>
        <w:t xml:space="preserve"> 9-AMB)</w:t>
      </w:r>
      <w:r w:rsidRPr="002F1E7E">
        <w:rPr>
          <w:rFonts w:eastAsia="Times New Roman"/>
          <w:b/>
          <w:bCs/>
        </w:rPr>
        <w:t>;</w:t>
      </w:r>
      <w:r w:rsidRPr="00EC39E9">
        <w:rPr>
          <w:rFonts w:eastAsia="Times New Roman"/>
          <w:b/>
          <w:bCs/>
        </w:rPr>
        <w:t xml:space="preserve"> </w:t>
      </w:r>
    </w:p>
    <w:p w14:paraId="373BB8EE" w14:textId="2BE119EB" w:rsidR="00967D2C" w:rsidRPr="00EC39E9" w:rsidRDefault="00EC39E9" w:rsidP="00EC39E9">
      <w:pPr>
        <w:pStyle w:val="Paragrafoelenco"/>
        <w:numPr>
          <w:ilvl w:val="2"/>
          <w:numId w:val="4"/>
        </w:numPr>
        <w:jc w:val="both"/>
        <w:rPr>
          <w:rFonts w:eastAsia="Times New Roman"/>
        </w:rPr>
      </w:pPr>
      <w:r w:rsidRPr="00EC39E9">
        <w:rPr>
          <w:rFonts w:eastAsia="Times New Roman"/>
        </w:rPr>
        <w:t xml:space="preserve">la trasformazione a doppia parete è una operazione complessa, che va eseguita da impresa specializzata, seguendo procedure rigorose, pena la scarsa qualità del risultato finale: è quindi opportuno, anche a garanzia della Proprietà dell’impianto, che l’Impresa esecutrice fornisca attestazione della propria </w:t>
      </w:r>
      <w:r w:rsidRPr="00EC39E9">
        <w:rPr>
          <w:rFonts w:eastAsia="Times New Roman"/>
          <w:u w:val="single"/>
        </w:rPr>
        <w:t>qualificazione</w:t>
      </w:r>
      <w:r w:rsidRPr="00EC39E9">
        <w:rPr>
          <w:rFonts w:eastAsia="Times New Roman"/>
        </w:rPr>
        <w:t xml:space="preserve"> alla esecuzione dei lavori di cui trattasi;</w:t>
      </w:r>
    </w:p>
    <w:p w14:paraId="6ADB155A" w14:textId="3013BFBC" w:rsidR="00967D2C" w:rsidRDefault="00967D2C" w:rsidP="00EC39E9">
      <w:pPr>
        <w:pStyle w:val="Paragrafoelenco"/>
        <w:numPr>
          <w:ilvl w:val="2"/>
          <w:numId w:val="4"/>
        </w:numPr>
        <w:spacing w:after="0" w:line="240" w:lineRule="auto"/>
        <w:contextualSpacing w:val="0"/>
        <w:jc w:val="both"/>
        <w:rPr>
          <w:rFonts w:eastAsia="Times New Roman"/>
        </w:rPr>
      </w:pPr>
      <w:r w:rsidRPr="0003665E">
        <w:rPr>
          <w:rFonts w:eastAsia="Times New Roman"/>
        </w:rPr>
        <w:t xml:space="preserve">è opportuno che </w:t>
      </w:r>
      <w:r w:rsidR="00EC39E9">
        <w:rPr>
          <w:rFonts w:eastAsia="Times New Roman"/>
        </w:rPr>
        <w:t>l</w:t>
      </w:r>
      <w:r w:rsidR="00EC39E9" w:rsidRPr="00EC39E9">
        <w:rPr>
          <w:rFonts w:eastAsia="Times New Roman"/>
        </w:rPr>
        <w:t xml:space="preserve">’Impresa esecutrice dei lavori </w:t>
      </w:r>
      <w:r w:rsidRPr="0003665E">
        <w:rPr>
          <w:rFonts w:eastAsia="Times New Roman"/>
        </w:rPr>
        <w:t xml:space="preserve">specifichi se </w:t>
      </w:r>
      <w:r w:rsidR="00EC39E9">
        <w:rPr>
          <w:rFonts w:eastAsia="Times New Roman"/>
        </w:rPr>
        <w:t xml:space="preserve">il </w:t>
      </w:r>
      <w:r w:rsidRPr="0003665E">
        <w:rPr>
          <w:rFonts w:eastAsia="Times New Roman"/>
        </w:rPr>
        <w:t>sistema sia stato codificato in qualche modo da una istituzione pubblica europea oppure se si tratti di una propria prassi operativa non altrimenti codificata</w:t>
      </w:r>
      <w:r w:rsidR="00C965C6">
        <w:rPr>
          <w:rFonts w:eastAsia="Times New Roman"/>
        </w:rPr>
        <w:t>;</w:t>
      </w:r>
      <w:r w:rsidR="00EC39E9">
        <w:rPr>
          <w:rFonts w:eastAsia="Times New Roman"/>
        </w:rPr>
        <w:t xml:space="preserve"> </w:t>
      </w:r>
      <w:r w:rsidR="00EC39E9" w:rsidRPr="00EC39E9">
        <w:rPr>
          <w:rFonts w:eastAsia="Times New Roman"/>
        </w:rPr>
        <w:t xml:space="preserve">si segnala che </w:t>
      </w:r>
      <w:r w:rsidR="00EC39E9" w:rsidRPr="00EC39E9">
        <w:rPr>
          <w:rFonts w:eastAsia="Times New Roman"/>
          <w:u w:val="single"/>
        </w:rPr>
        <w:t>il Sistema DOPA 6I</w:t>
      </w:r>
      <w:r w:rsidR="00EC39E9" w:rsidRPr="00EC39E9">
        <w:rPr>
          <w:rFonts w:eastAsia="Times New Roman"/>
        </w:rPr>
        <w:t xml:space="preserve"> è stato approvato dal </w:t>
      </w:r>
      <w:r w:rsidR="00EC39E9" w:rsidRPr="00FF13E0">
        <w:rPr>
          <w:rFonts w:eastAsia="Times New Roman"/>
          <w:b/>
          <w:bCs/>
        </w:rPr>
        <w:t>Ministero dell’Ambiente</w:t>
      </w:r>
      <w:r w:rsidR="00EC39E9" w:rsidRPr="00EC39E9">
        <w:rPr>
          <w:rFonts w:eastAsia="Times New Roman"/>
        </w:rPr>
        <w:t xml:space="preserve"> con </w:t>
      </w:r>
      <w:r w:rsidR="00EC39E9" w:rsidRPr="00FF13E0">
        <w:rPr>
          <w:rFonts w:eastAsia="Times New Roman"/>
          <w:b/>
          <w:bCs/>
        </w:rPr>
        <w:t>nota prot. 1995/2001/SIAR</w:t>
      </w:r>
      <w:r w:rsidR="00EC39E9" w:rsidRPr="00EC39E9">
        <w:rPr>
          <w:rFonts w:eastAsia="Times New Roman"/>
        </w:rPr>
        <w:t xml:space="preserve"> del 5.7.2001</w:t>
      </w:r>
      <w:r w:rsidR="00B709A2">
        <w:rPr>
          <w:rFonts w:eastAsia="Times New Roman"/>
        </w:rPr>
        <w:t>.</w:t>
      </w:r>
    </w:p>
    <w:p w14:paraId="6FCCAF9C" w14:textId="77777777" w:rsidR="00EC39E9" w:rsidRPr="0003665E" w:rsidRDefault="00EC39E9" w:rsidP="00EC39E9">
      <w:pPr>
        <w:pStyle w:val="Paragrafoelenco"/>
        <w:numPr>
          <w:ilvl w:val="1"/>
          <w:numId w:val="4"/>
        </w:numPr>
        <w:spacing w:after="0" w:line="240" w:lineRule="auto"/>
        <w:contextualSpacing w:val="0"/>
        <w:jc w:val="both"/>
        <w:rPr>
          <w:rFonts w:eastAsia="Times New Roman"/>
          <w:b/>
          <w:bCs/>
        </w:rPr>
      </w:pPr>
      <w:r>
        <w:rPr>
          <w:rFonts w:eastAsia="Times New Roman"/>
          <w:b/>
          <w:bCs/>
        </w:rPr>
        <w:t>E</w:t>
      </w:r>
      <w:r w:rsidRPr="0003665E">
        <w:rPr>
          <w:rFonts w:eastAsia="Times New Roman"/>
          <w:b/>
          <w:bCs/>
        </w:rPr>
        <w:t xml:space="preserve">tà </w:t>
      </w:r>
    </w:p>
    <w:p w14:paraId="1A79F753" w14:textId="6F00E144" w:rsidR="00EC39E9" w:rsidRPr="003620B8" w:rsidRDefault="00EC39E9" w:rsidP="00EC39E9">
      <w:pPr>
        <w:pStyle w:val="Paragrafoelenco"/>
        <w:numPr>
          <w:ilvl w:val="2"/>
          <w:numId w:val="4"/>
        </w:numPr>
        <w:spacing w:after="0" w:line="240" w:lineRule="auto"/>
        <w:contextualSpacing w:val="0"/>
        <w:jc w:val="both"/>
        <w:rPr>
          <w:rFonts w:eastAsia="Times New Roman"/>
        </w:rPr>
      </w:pPr>
      <w:r w:rsidRPr="0003665E">
        <w:rPr>
          <w:rFonts w:eastAsia="Times New Roman"/>
        </w:rPr>
        <w:t xml:space="preserve">il </w:t>
      </w:r>
      <w:r w:rsidRPr="00FF13E0">
        <w:rPr>
          <w:rFonts w:eastAsia="Times New Roman"/>
          <w:b/>
          <w:bCs/>
        </w:rPr>
        <w:t>DM 29/11/2002</w:t>
      </w:r>
      <w:r w:rsidRPr="0003665E">
        <w:rPr>
          <w:rFonts w:eastAsia="Times New Roman"/>
        </w:rPr>
        <w:t xml:space="preserve">, all’art.2, c.7, prevede </w:t>
      </w:r>
      <w:r w:rsidR="00AE48DF" w:rsidRPr="002F1E7E">
        <w:t>per i nuovi serbatoi</w:t>
      </w:r>
      <w:r w:rsidR="00AE48DF" w:rsidRPr="0003665E">
        <w:rPr>
          <w:rFonts w:eastAsia="Times New Roman"/>
        </w:rPr>
        <w:t xml:space="preserve"> </w:t>
      </w:r>
      <w:r w:rsidRPr="0003665E">
        <w:rPr>
          <w:rFonts w:eastAsia="Times New Roman"/>
        </w:rPr>
        <w:t xml:space="preserve">che sia </w:t>
      </w:r>
      <w:r w:rsidRPr="0003665E">
        <w:rPr>
          <w:rFonts w:eastAsia="Times New Roman"/>
          <w:i/>
          <w:iCs/>
        </w:rPr>
        <w:t xml:space="preserve">“… installata, </w:t>
      </w:r>
      <w:r w:rsidRPr="00C20437">
        <w:rPr>
          <w:rFonts w:eastAsia="Times New Roman"/>
          <w:i/>
          <w:iCs/>
          <w:u w:val="single"/>
        </w:rPr>
        <w:t>in posizione visibile</w:t>
      </w:r>
      <w:r w:rsidRPr="0003665E">
        <w:rPr>
          <w:rFonts w:eastAsia="Times New Roman"/>
          <w:i/>
          <w:iCs/>
        </w:rPr>
        <w:t>, apposita targa di identificazione che deve indicare a) il nome e l'indirizzo del costruttore; b) l'anno di costruzione; c) la capacità, lo spessore ed il materiale del serbatoio; d) la pressione di progetto del serbatoio e dell'intercapedine”</w:t>
      </w:r>
      <w:r w:rsidR="00944AF3">
        <w:rPr>
          <w:rFonts w:eastAsia="Times New Roman"/>
          <w:i/>
          <w:iCs/>
        </w:rPr>
        <w:t>;</w:t>
      </w:r>
    </w:p>
    <w:p w14:paraId="58662C63" w14:textId="536A4CDE" w:rsidR="00EC39E9" w:rsidRPr="00EC39E9" w:rsidRDefault="00EC39E9" w:rsidP="00EC39E9">
      <w:pPr>
        <w:pStyle w:val="Paragrafoelenco"/>
        <w:numPr>
          <w:ilvl w:val="2"/>
          <w:numId w:val="4"/>
        </w:numPr>
        <w:spacing w:after="0" w:line="240" w:lineRule="auto"/>
        <w:contextualSpacing w:val="0"/>
        <w:jc w:val="both"/>
        <w:rPr>
          <w:rFonts w:eastAsia="Times New Roman"/>
        </w:rPr>
      </w:pPr>
      <w:r>
        <w:rPr>
          <w:rFonts w:eastAsia="Times New Roman"/>
        </w:rPr>
        <w:t>l’</w:t>
      </w:r>
      <w:r w:rsidRPr="0003665E">
        <w:rPr>
          <w:rFonts w:eastAsia="Times New Roman"/>
        </w:rPr>
        <w:t xml:space="preserve">età </w:t>
      </w:r>
      <w:r>
        <w:rPr>
          <w:rFonts w:eastAsia="Times New Roman"/>
        </w:rPr>
        <w:t xml:space="preserve">del serbatoio </w:t>
      </w:r>
      <w:r w:rsidR="00944AF3">
        <w:rPr>
          <w:rFonts w:eastAsia="Times New Roman"/>
        </w:rPr>
        <w:t xml:space="preserve">è facilmente attestabile </w:t>
      </w:r>
      <w:r>
        <w:rPr>
          <w:rFonts w:eastAsia="Times New Roman"/>
        </w:rPr>
        <w:t>mediante</w:t>
      </w:r>
      <w:r w:rsidRPr="0003665E">
        <w:rPr>
          <w:rFonts w:eastAsia="Times New Roman"/>
        </w:rPr>
        <w:t xml:space="preserve"> una fotografia di tale </w:t>
      </w:r>
      <w:r w:rsidRPr="006C70B6">
        <w:rPr>
          <w:rFonts w:eastAsia="Times New Roman"/>
          <w:u w:val="single"/>
        </w:rPr>
        <w:t>targa di identificazione</w:t>
      </w:r>
      <w:r w:rsidR="00B709A2">
        <w:rPr>
          <w:rFonts w:eastAsia="Times New Roman"/>
          <w:u w:val="single"/>
        </w:rPr>
        <w:t>.</w:t>
      </w:r>
    </w:p>
    <w:p w14:paraId="207E4C0B" w14:textId="50C95373" w:rsidR="00CF455F" w:rsidRPr="0003665E" w:rsidRDefault="00821A96" w:rsidP="00336ACE">
      <w:pPr>
        <w:pStyle w:val="Paragrafoelenco"/>
        <w:numPr>
          <w:ilvl w:val="1"/>
          <w:numId w:val="4"/>
        </w:numPr>
        <w:spacing w:after="0" w:line="240" w:lineRule="auto"/>
        <w:contextualSpacing w:val="0"/>
        <w:jc w:val="both"/>
        <w:rPr>
          <w:rFonts w:eastAsia="Times New Roman"/>
          <w:b/>
          <w:bCs/>
        </w:rPr>
      </w:pPr>
      <w:r>
        <w:rPr>
          <w:rFonts w:eastAsia="Times New Roman"/>
          <w:b/>
          <w:bCs/>
        </w:rPr>
        <w:t>P</w:t>
      </w:r>
      <w:r w:rsidR="00CF455F" w:rsidRPr="0003665E">
        <w:rPr>
          <w:rFonts w:eastAsia="Times New Roman"/>
          <w:b/>
          <w:bCs/>
        </w:rPr>
        <w:t>rove di tenuta del serbatoio</w:t>
      </w:r>
      <w:r w:rsidR="00866DA2">
        <w:rPr>
          <w:rFonts w:eastAsia="Times New Roman"/>
          <w:b/>
          <w:bCs/>
        </w:rPr>
        <w:t xml:space="preserve"> </w:t>
      </w:r>
      <w:r w:rsidR="00866DA2" w:rsidRPr="002F1E7E">
        <w:rPr>
          <w:rFonts w:eastAsia="Times New Roman"/>
          <w:b/>
          <w:bCs/>
        </w:rPr>
        <w:t>(</w:t>
      </w:r>
      <w:proofErr w:type="spellStart"/>
      <w:r w:rsidR="006B6898" w:rsidRPr="002F1E7E">
        <w:rPr>
          <w:rFonts w:eastAsia="Times New Roman"/>
          <w:b/>
          <w:bCs/>
        </w:rPr>
        <w:t>rif</w:t>
      </w:r>
      <w:r w:rsidR="00866DA2" w:rsidRPr="002F1E7E">
        <w:rPr>
          <w:rFonts w:eastAsia="Times New Roman"/>
          <w:b/>
          <w:bCs/>
        </w:rPr>
        <w:t>.</w:t>
      </w:r>
      <w:proofErr w:type="spellEnd"/>
      <w:r w:rsidR="00866DA2" w:rsidRPr="002F1E7E">
        <w:rPr>
          <w:rFonts w:eastAsia="Times New Roman"/>
          <w:b/>
          <w:bCs/>
        </w:rPr>
        <w:t xml:space="preserve"> 7-</w:t>
      </w:r>
      <w:r w:rsidR="006B6898" w:rsidRPr="002F1E7E">
        <w:rPr>
          <w:rFonts w:eastAsia="Times New Roman"/>
          <w:b/>
          <w:bCs/>
        </w:rPr>
        <w:t>AMB</w:t>
      </w:r>
      <w:r w:rsidR="00866DA2" w:rsidRPr="002F1E7E">
        <w:rPr>
          <w:rFonts w:eastAsia="Times New Roman"/>
          <w:b/>
          <w:bCs/>
        </w:rPr>
        <w:t>)</w:t>
      </w:r>
    </w:p>
    <w:p w14:paraId="2837FAF2" w14:textId="563AA8BD" w:rsidR="00473052" w:rsidRPr="0003665E" w:rsidRDefault="00473052" w:rsidP="00336ACE">
      <w:pPr>
        <w:pStyle w:val="Paragrafoelenco"/>
        <w:numPr>
          <w:ilvl w:val="2"/>
          <w:numId w:val="4"/>
        </w:numPr>
        <w:spacing w:after="0" w:line="240" w:lineRule="auto"/>
        <w:contextualSpacing w:val="0"/>
        <w:jc w:val="both"/>
        <w:rPr>
          <w:rFonts w:eastAsia="Times New Roman"/>
        </w:rPr>
      </w:pPr>
      <w:r w:rsidRPr="0003665E">
        <w:rPr>
          <w:rFonts w:eastAsia="Times New Roman"/>
        </w:rPr>
        <w:t xml:space="preserve">le tipologie di prove di tenuta effettuabili sono descritte nelle </w:t>
      </w:r>
      <w:r w:rsidRPr="00FF13E0">
        <w:rPr>
          <w:rFonts w:eastAsia="Times New Roman"/>
          <w:b/>
          <w:bCs/>
        </w:rPr>
        <w:t>LLG 2013 di ARPA Lombardia</w:t>
      </w:r>
      <w:r w:rsidRPr="0003665E">
        <w:rPr>
          <w:rFonts w:eastAsia="Times New Roman"/>
        </w:rPr>
        <w:t xml:space="preserve"> per i serbatoi interrati</w:t>
      </w:r>
      <w:r w:rsidR="008F6229">
        <w:rPr>
          <w:rFonts w:eastAsia="Times New Roman"/>
        </w:rPr>
        <w:t xml:space="preserve">; </w:t>
      </w:r>
    </w:p>
    <w:p w14:paraId="06A2CB31" w14:textId="14A93EB3" w:rsidR="00473052" w:rsidRDefault="00473052" w:rsidP="00336ACE">
      <w:pPr>
        <w:pStyle w:val="Paragrafoelenco"/>
        <w:numPr>
          <w:ilvl w:val="2"/>
          <w:numId w:val="4"/>
        </w:numPr>
        <w:spacing w:after="0" w:line="240" w:lineRule="auto"/>
        <w:contextualSpacing w:val="0"/>
        <w:jc w:val="both"/>
        <w:rPr>
          <w:rFonts w:eastAsia="Times New Roman"/>
        </w:rPr>
      </w:pPr>
      <w:r w:rsidRPr="0003665E">
        <w:rPr>
          <w:rFonts w:eastAsia="Times New Roman"/>
        </w:rPr>
        <w:t xml:space="preserve">chi ha effettuato le </w:t>
      </w:r>
      <w:r w:rsidR="00336ACE" w:rsidRPr="0003665E">
        <w:rPr>
          <w:rFonts w:eastAsia="Times New Roman"/>
        </w:rPr>
        <w:t xml:space="preserve">prove di tenuta è tenuto a rilasciare al Gestore del P.V. una </w:t>
      </w:r>
      <w:r w:rsidR="00336ACE" w:rsidRPr="006C70B6">
        <w:rPr>
          <w:rFonts w:eastAsia="Times New Roman"/>
          <w:u w:val="single"/>
        </w:rPr>
        <w:t>relazione</w:t>
      </w:r>
      <w:r w:rsidR="00336ACE" w:rsidRPr="0003665E">
        <w:rPr>
          <w:rFonts w:eastAsia="Times New Roman"/>
        </w:rPr>
        <w:t xml:space="preserve">, debitamente firmata, che ne descrive le </w:t>
      </w:r>
      <w:r w:rsidR="00336ACE" w:rsidRPr="006C70B6">
        <w:rPr>
          <w:rFonts w:eastAsia="Times New Roman"/>
          <w:u w:val="single"/>
        </w:rPr>
        <w:t>modalità di effettuazione e l’esito</w:t>
      </w:r>
      <w:r w:rsidR="00336ACE" w:rsidRPr="0003665E">
        <w:rPr>
          <w:rFonts w:eastAsia="Times New Roman"/>
        </w:rPr>
        <w:t xml:space="preserve">; </w:t>
      </w:r>
      <w:r w:rsidR="00336ACE" w:rsidRPr="006C70B6">
        <w:rPr>
          <w:rFonts w:eastAsia="Times New Roman"/>
          <w:u w:val="single"/>
        </w:rPr>
        <w:t xml:space="preserve">se la modalità utilizzata </w:t>
      </w:r>
      <w:r w:rsidR="008F6229">
        <w:rPr>
          <w:rFonts w:eastAsia="Times New Roman"/>
          <w:u w:val="single"/>
        </w:rPr>
        <w:t xml:space="preserve">non </w:t>
      </w:r>
      <w:r w:rsidR="00336ACE" w:rsidRPr="006C70B6">
        <w:rPr>
          <w:rFonts w:eastAsia="Times New Roman"/>
          <w:u w:val="single"/>
        </w:rPr>
        <w:t>rientra tra quelle repertate nelle LLG ARPA</w:t>
      </w:r>
      <w:r w:rsidR="00336ACE" w:rsidRPr="0003665E">
        <w:rPr>
          <w:rFonts w:eastAsia="Times New Roman"/>
        </w:rPr>
        <w:t xml:space="preserve">, </w:t>
      </w:r>
      <w:r w:rsidR="00866DA2">
        <w:rPr>
          <w:rFonts w:eastAsia="Times New Roman"/>
        </w:rPr>
        <w:t xml:space="preserve">la </w:t>
      </w:r>
      <w:r w:rsidR="008F6229">
        <w:rPr>
          <w:rFonts w:eastAsia="Times New Roman"/>
        </w:rPr>
        <w:t xml:space="preserve">relativa </w:t>
      </w:r>
      <w:r w:rsidR="00336ACE" w:rsidRPr="0003665E">
        <w:rPr>
          <w:rFonts w:eastAsia="Times New Roman"/>
        </w:rPr>
        <w:t>attendibilità</w:t>
      </w:r>
      <w:r w:rsidR="00866DA2">
        <w:rPr>
          <w:rFonts w:eastAsia="Times New Roman"/>
        </w:rPr>
        <w:t xml:space="preserve"> </w:t>
      </w:r>
      <w:r w:rsidR="008F6229">
        <w:rPr>
          <w:rFonts w:eastAsia="Times New Roman"/>
        </w:rPr>
        <w:t xml:space="preserve">dovrebbe far riferimento </w:t>
      </w:r>
      <w:r w:rsidR="00866DA2">
        <w:rPr>
          <w:rFonts w:eastAsia="Times New Roman"/>
        </w:rPr>
        <w:t xml:space="preserve">ad </w:t>
      </w:r>
      <w:r w:rsidR="008F6229">
        <w:rPr>
          <w:rFonts w:eastAsia="Times New Roman"/>
        </w:rPr>
        <w:t xml:space="preserve">una </w:t>
      </w:r>
      <w:r w:rsidR="00866DA2">
        <w:rPr>
          <w:rFonts w:eastAsia="Times New Roman"/>
        </w:rPr>
        <w:t>eventuale altra norma tecnica UE</w:t>
      </w:r>
      <w:r w:rsidR="008D7291">
        <w:rPr>
          <w:rFonts w:eastAsia="Times New Roman"/>
        </w:rPr>
        <w:t>; è importante che la relazione tecnica specifichi la durata della garanzia di tenuta;</w:t>
      </w:r>
    </w:p>
    <w:p w14:paraId="5F058230" w14:textId="0F4794F4" w:rsidR="008D7291" w:rsidRDefault="008D7291" w:rsidP="00336ACE">
      <w:pPr>
        <w:pStyle w:val="Paragrafoelenco"/>
        <w:numPr>
          <w:ilvl w:val="2"/>
          <w:numId w:val="4"/>
        </w:numPr>
        <w:spacing w:after="0" w:line="240" w:lineRule="auto"/>
        <w:contextualSpacing w:val="0"/>
        <w:jc w:val="both"/>
        <w:rPr>
          <w:rFonts w:eastAsia="Times New Roman"/>
        </w:rPr>
      </w:pPr>
      <w:r w:rsidRPr="008D7291">
        <w:rPr>
          <w:rFonts w:eastAsia="Times New Roman"/>
        </w:rPr>
        <w:t xml:space="preserve">le prove di tenuta </w:t>
      </w:r>
      <w:r w:rsidR="008C0B6A">
        <w:rPr>
          <w:rFonts w:eastAsia="Times New Roman"/>
        </w:rPr>
        <w:t>sono</w:t>
      </w:r>
      <w:r w:rsidRPr="008D7291">
        <w:rPr>
          <w:rFonts w:eastAsia="Times New Roman"/>
        </w:rPr>
        <w:t xml:space="preserve"> asseverate dall’impresa esecutrice</w:t>
      </w:r>
      <w:r w:rsidR="008C0B6A">
        <w:rPr>
          <w:rFonts w:eastAsia="Times New Roman"/>
        </w:rPr>
        <w:t>;</w:t>
      </w:r>
      <w:r w:rsidRPr="008D7291">
        <w:rPr>
          <w:rFonts w:eastAsia="Times New Roman"/>
        </w:rPr>
        <w:t xml:space="preserve"> non devono essere ripetute nel tempo, in quanto, almeno fino alla successiva verifica quindicennale, la vigilanza è assicurata dal sistema di monitoraggio dell’intercapedine</w:t>
      </w:r>
      <w:r>
        <w:rPr>
          <w:rFonts w:eastAsia="Times New Roman"/>
        </w:rPr>
        <w:t>.</w:t>
      </w:r>
    </w:p>
    <w:p w14:paraId="0CC0B736" w14:textId="5F782F69" w:rsidR="00894151" w:rsidRPr="0003665E" w:rsidRDefault="00821A96" w:rsidP="00894151">
      <w:pPr>
        <w:pStyle w:val="Paragrafoelenco"/>
        <w:numPr>
          <w:ilvl w:val="1"/>
          <w:numId w:val="4"/>
        </w:numPr>
        <w:spacing w:after="0" w:line="240" w:lineRule="auto"/>
        <w:jc w:val="both"/>
        <w:rPr>
          <w:rFonts w:eastAsia="Times New Roman"/>
          <w:b/>
          <w:bCs/>
        </w:rPr>
      </w:pPr>
      <w:r>
        <w:rPr>
          <w:rFonts w:eastAsia="Times New Roman"/>
          <w:b/>
          <w:bCs/>
        </w:rPr>
        <w:t>C</w:t>
      </w:r>
      <w:r w:rsidR="00894151" w:rsidRPr="0003665E">
        <w:rPr>
          <w:rFonts w:eastAsia="Times New Roman"/>
          <w:b/>
          <w:bCs/>
        </w:rPr>
        <w:t xml:space="preserve">ircuito chiuso </w:t>
      </w:r>
      <w:r w:rsidR="00254AE9" w:rsidRPr="0003665E">
        <w:rPr>
          <w:rFonts w:eastAsia="Times New Roman"/>
          <w:b/>
          <w:bCs/>
        </w:rPr>
        <w:t xml:space="preserve">per il travaso </w:t>
      </w:r>
      <w:r w:rsidR="00841108" w:rsidRPr="0003665E">
        <w:rPr>
          <w:rFonts w:eastAsia="Times New Roman"/>
          <w:b/>
          <w:bCs/>
        </w:rPr>
        <w:t>e sistema di recupero vapori</w:t>
      </w:r>
      <w:r w:rsidR="00ED1798">
        <w:rPr>
          <w:rFonts w:eastAsia="Times New Roman"/>
          <w:b/>
          <w:bCs/>
        </w:rPr>
        <w:t xml:space="preserve"> </w:t>
      </w:r>
      <w:r w:rsidR="00ED1798" w:rsidRPr="002F1E7E">
        <w:rPr>
          <w:rFonts w:eastAsia="Times New Roman"/>
          <w:b/>
          <w:bCs/>
        </w:rPr>
        <w:t>(</w:t>
      </w:r>
      <w:proofErr w:type="spellStart"/>
      <w:r w:rsidR="006B6898" w:rsidRPr="002F1E7E">
        <w:rPr>
          <w:rFonts w:eastAsia="Times New Roman"/>
          <w:b/>
          <w:bCs/>
        </w:rPr>
        <w:t>rif</w:t>
      </w:r>
      <w:r w:rsidR="00ED1798" w:rsidRPr="002F1E7E">
        <w:rPr>
          <w:rFonts w:eastAsia="Times New Roman"/>
          <w:b/>
          <w:bCs/>
        </w:rPr>
        <w:t>.</w:t>
      </w:r>
      <w:proofErr w:type="spellEnd"/>
      <w:r w:rsidR="00ED1798" w:rsidRPr="002F1E7E">
        <w:rPr>
          <w:rFonts w:eastAsia="Times New Roman"/>
          <w:b/>
          <w:bCs/>
        </w:rPr>
        <w:t xml:space="preserve"> 2-SAN)</w:t>
      </w:r>
    </w:p>
    <w:p w14:paraId="7275B516" w14:textId="627ABFD9" w:rsidR="000A1F39" w:rsidRPr="003664FC" w:rsidRDefault="00894151" w:rsidP="00451EF5">
      <w:pPr>
        <w:pStyle w:val="Paragrafoelenco"/>
        <w:numPr>
          <w:ilvl w:val="2"/>
          <w:numId w:val="4"/>
        </w:numPr>
        <w:spacing w:after="0" w:line="240" w:lineRule="auto"/>
        <w:jc w:val="both"/>
        <w:rPr>
          <w:rFonts w:eastAsia="Times New Roman"/>
          <w:i/>
          <w:iCs/>
        </w:rPr>
      </w:pPr>
      <w:r w:rsidRPr="003664FC">
        <w:rPr>
          <w:rFonts w:eastAsia="Times New Roman"/>
        </w:rPr>
        <w:t>È previsto</w:t>
      </w:r>
      <w:r w:rsidR="000A1F39" w:rsidRPr="003664FC">
        <w:rPr>
          <w:rFonts w:eastAsia="Times New Roman"/>
        </w:rPr>
        <w:t xml:space="preserve"> </w:t>
      </w:r>
      <w:r w:rsidR="002E49AC">
        <w:rPr>
          <w:rFonts w:eastAsia="Times New Roman"/>
        </w:rPr>
        <w:t xml:space="preserve">… </w:t>
      </w:r>
      <w:r w:rsidRPr="002E49AC">
        <w:rPr>
          <w:rFonts w:eastAsia="Times New Roman"/>
          <w:b/>
          <w:bCs/>
        </w:rPr>
        <w:t>dal DM 31.7.34</w:t>
      </w:r>
      <w:r w:rsidRPr="002E49AC">
        <w:rPr>
          <w:rFonts w:eastAsia="Times New Roman"/>
        </w:rPr>
        <w:t>, art.72</w:t>
      </w:r>
      <w:r w:rsidR="000A1F39" w:rsidRPr="003664FC">
        <w:rPr>
          <w:rFonts w:eastAsia="Times New Roman"/>
        </w:rPr>
        <w:t xml:space="preserve"> </w:t>
      </w:r>
      <w:r w:rsidR="0060455B" w:rsidRPr="003664FC">
        <w:rPr>
          <w:rFonts w:eastAsia="Times New Roman"/>
          <w:i/>
          <w:iCs/>
        </w:rPr>
        <w:t>“Il circuito chiuso ha per scopo di impedire il contatto del liquido infiammabile coll’aria libera, per evitare la formazione di miscele tonanti e la dispersione di vapori che potrebbero divenire esplodibili o anche soltanto infiammabili …”</w:t>
      </w:r>
    </w:p>
    <w:p w14:paraId="355F79C3" w14:textId="50650A78" w:rsidR="007803A3" w:rsidRPr="002E49AC" w:rsidRDefault="002E49AC" w:rsidP="00C617AD">
      <w:pPr>
        <w:pStyle w:val="Paragrafoelenco"/>
        <w:numPr>
          <w:ilvl w:val="2"/>
          <w:numId w:val="4"/>
        </w:numPr>
        <w:jc w:val="both"/>
        <w:rPr>
          <w:rFonts w:eastAsia="Times New Roman"/>
        </w:rPr>
      </w:pPr>
      <w:r>
        <w:rPr>
          <w:rFonts w:eastAsia="Times New Roman"/>
          <w:b/>
          <w:bCs/>
        </w:rPr>
        <w:t xml:space="preserve">… </w:t>
      </w:r>
      <w:r w:rsidR="00894151" w:rsidRPr="002E49AC">
        <w:rPr>
          <w:rFonts w:eastAsia="Times New Roman"/>
          <w:b/>
          <w:bCs/>
        </w:rPr>
        <w:t>dal DM Ambiente 16.5.96</w:t>
      </w:r>
      <w:r w:rsidR="00894151" w:rsidRPr="002E49AC">
        <w:rPr>
          <w:rFonts w:eastAsia="Times New Roman"/>
        </w:rPr>
        <w:t xml:space="preserve">, </w:t>
      </w:r>
      <w:r w:rsidR="000A1F39" w:rsidRPr="002E49AC">
        <w:rPr>
          <w:rFonts w:eastAsia="Times New Roman"/>
        </w:rPr>
        <w:t>all’</w:t>
      </w:r>
      <w:r w:rsidR="00894151" w:rsidRPr="002E49AC">
        <w:rPr>
          <w:rFonts w:eastAsia="Times New Roman"/>
        </w:rPr>
        <w:t>art.</w:t>
      </w:r>
      <w:r w:rsidR="000A1F39" w:rsidRPr="002E49AC">
        <w:rPr>
          <w:rFonts w:eastAsia="Times New Roman"/>
        </w:rPr>
        <w:t>2 e all’art.5, c.1b) nonché dal relativo Allegato “A”</w:t>
      </w:r>
      <w:r w:rsidR="007803A3" w:rsidRPr="002E49AC">
        <w:rPr>
          <w:rFonts w:eastAsia="Times New Roman"/>
        </w:rPr>
        <w:t xml:space="preserve"> (requisiti dei sistemi di recupero vapori)</w:t>
      </w:r>
      <w:r w:rsidR="00F86B68" w:rsidRPr="002E49AC">
        <w:rPr>
          <w:rFonts w:eastAsia="Times New Roman"/>
        </w:rPr>
        <w:t>; l’</w:t>
      </w:r>
      <w:r w:rsidR="000A1F39" w:rsidRPr="002E49AC">
        <w:rPr>
          <w:rFonts w:eastAsia="Times New Roman"/>
        </w:rPr>
        <w:t>art.</w:t>
      </w:r>
      <w:r w:rsidR="00894151" w:rsidRPr="002E49AC">
        <w:rPr>
          <w:rFonts w:eastAsia="Times New Roman"/>
        </w:rPr>
        <w:t>6, c.</w:t>
      </w:r>
      <w:r w:rsidR="000A1F39" w:rsidRPr="002E49AC">
        <w:rPr>
          <w:rFonts w:eastAsia="Times New Roman"/>
        </w:rPr>
        <w:t>3</w:t>
      </w:r>
      <w:r w:rsidR="00F86B68" w:rsidRPr="002E49AC">
        <w:rPr>
          <w:rFonts w:eastAsia="Times New Roman"/>
        </w:rPr>
        <w:t xml:space="preserve"> </w:t>
      </w:r>
      <w:r w:rsidR="00894151" w:rsidRPr="002E49AC">
        <w:rPr>
          <w:rFonts w:eastAsia="Times New Roman"/>
        </w:rPr>
        <w:t xml:space="preserve">prevede il </w:t>
      </w:r>
      <w:r w:rsidR="00894151" w:rsidRPr="002E49AC">
        <w:rPr>
          <w:rFonts w:eastAsia="Times New Roman"/>
          <w:u w:val="single"/>
        </w:rPr>
        <w:t>controllo annuale dell’</w:t>
      </w:r>
      <w:r w:rsidR="00894151" w:rsidRPr="002E49AC">
        <w:rPr>
          <w:rFonts w:eastAsia="Times New Roman"/>
          <w:u w:val="double"/>
        </w:rPr>
        <w:t>efficienza</w:t>
      </w:r>
      <w:r w:rsidR="00894151" w:rsidRPr="002E49AC">
        <w:rPr>
          <w:rFonts w:eastAsia="Times New Roman"/>
          <w:u w:val="single"/>
        </w:rPr>
        <w:t xml:space="preserve"> del sistema</w:t>
      </w:r>
      <w:r w:rsidR="00894151" w:rsidRPr="002E49AC">
        <w:rPr>
          <w:rFonts w:eastAsia="Times New Roman"/>
        </w:rPr>
        <w:t xml:space="preserve">, da riportare </w:t>
      </w:r>
      <w:r w:rsidR="00841108" w:rsidRPr="002E49AC">
        <w:rPr>
          <w:rFonts w:eastAsia="Times New Roman"/>
        </w:rPr>
        <w:t xml:space="preserve">sul </w:t>
      </w:r>
      <w:r w:rsidR="00841108" w:rsidRPr="002E49AC">
        <w:rPr>
          <w:rFonts w:eastAsia="Times New Roman"/>
          <w:u w:val="single"/>
        </w:rPr>
        <w:t>Registro di impianto</w:t>
      </w:r>
      <w:r w:rsidR="007803A3" w:rsidRPr="002E49AC">
        <w:rPr>
          <w:rFonts w:eastAsia="Times New Roman"/>
        </w:rPr>
        <w:t xml:space="preserve">; l’Allegato A, art.8 prevede il </w:t>
      </w:r>
      <w:r w:rsidR="007803A3" w:rsidRPr="002E49AC">
        <w:rPr>
          <w:rFonts w:eastAsia="Times New Roman"/>
          <w:u w:val="double"/>
        </w:rPr>
        <w:t>dispositivo segnalazione anomalie</w:t>
      </w:r>
      <w:r w:rsidR="007803A3" w:rsidRPr="002E49AC">
        <w:rPr>
          <w:rFonts w:eastAsia="Times New Roman"/>
        </w:rPr>
        <w:t xml:space="preserve"> “</w:t>
      </w:r>
      <w:r w:rsidR="007803A3" w:rsidRPr="002E49AC">
        <w:rPr>
          <w:rFonts w:eastAsia="Times New Roman"/>
          <w:i/>
          <w:iCs/>
        </w:rPr>
        <w:t xml:space="preserve">Sulla linea di ritorno dei vapori deve essere installato un </w:t>
      </w:r>
      <w:r w:rsidR="007803A3" w:rsidRPr="002E49AC">
        <w:rPr>
          <w:rFonts w:eastAsia="Times New Roman"/>
          <w:i/>
          <w:iCs/>
          <w:u w:val="single"/>
        </w:rPr>
        <w:t>gruppo di controllo del funzionamento</w:t>
      </w:r>
      <w:r w:rsidR="007803A3" w:rsidRPr="002E49AC">
        <w:rPr>
          <w:rFonts w:eastAsia="Times New Roman"/>
          <w:i/>
          <w:iCs/>
        </w:rPr>
        <w:t xml:space="preserve">, che provvede a </w:t>
      </w:r>
      <w:r w:rsidR="007803A3" w:rsidRPr="002E49AC">
        <w:rPr>
          <w:rFonts w:eastAsia="Times New Roman"/>
          <w:i/>
          <w:iCs/>
          <w:u w:val="single"/>
        </w:rPr>
        <w:t>segnala</w:t>
      </w:r>
      <w:r w:rsidR="007803A3" w:rsidRPr="002E49AC">
        <w:rPr>
          <w:rFonts w:eastAsia="Times New Roman"/>
          <w:i/>
          <w:iCs/>
        </w:rPr>
        <w:t xml:space="preserve">re </w:t>
      </w:r>
      <w:r w:rsidR="007803A3" w:rsidRPr="002E49AC">
        <w:rPr>
          <w:rFonts w:eastAsia="Times New Roman"/>
          <w:i/>
          <w:iCs/>
          <w:u w:val="single"/>
        </w:rPr>
        <w:t>visivamente</w:t>
      </w:r>
      <w:r w:rsidR="007803A3" w:rsidRPr="002E49AC">
        <w:rPr>
          <w:rFonts w:eastAsia="Times New Roman"/>
          <w:i/>
          <w:iCs/>
        </w:rPr>
        <w:t xml:space="preserve"> l’anomalia del sistema recupero vapori benzine.  In tal caso il gestore dell’impianto è tenuto a prendere idonei provvedimenti e ad annotare gli interventi …”</w:t>
      </w:r>
      <w:r w:rsidRPr="002E49AC">
        <w:rPr>
          <w:rFonts w:eastAsia="Times New Roman"/>
          <w:i/>
          <w:iCs/>
        </w:rPr>
        <w:t>.</w:t>
      </w:r>
      <w:r>
        <w:rPr>
          <w:rFonts w:eastAsia="Times New Roman"/>
          <w:i/>
          <w:iCs/>
        </w:rPr>
        <w:t xml:space="preserve"> </w:t>
      </w:r>
      <w:r w:rsidRPr="002E49AC">
        <w:rPr>
          <w:rFonts w:eastAsia="Times New Roman"/>
        </w:rPr>
        <w:t>Occorre quindi distinguere l’efficienza del sistema (quale percentuale dei vapori viene effettivamente recuperata), dalla funzionalità del sistema (attestata dal sistema visivo di segnalazione): l’efficienza va provata annualmente da personale specializzato, la funzionalità va controllata in continuo dal Gestore;</w:t>
      </w:r>
    </w:p>
    <w:p w14:paraId="584151B5" w14:textId="1355B0D8" w:rsidR="00894151" w:rsidRPr="002E49AC" w:rsidRDefault="002E49AC" w:rsidP="00CF6A31">
      <w:pPr>
        <w:pStyle w:val="Paragrafoelenco"/>
        <w:numPr>
          <w:ilvl w:val="2"/>
          <w:numId w:val="4"/>
        </w:numPr>
        <w:spacing w:after="0" w:line="240" w:lineRule="auto"/>
        <w:jc w:val="both"/>
        <w:rPr>
          <w:rFonts w:eastAsia="Times New Roman"/>
        </w:rPr>
      </w:pPr>
      <w:r>
        <w:rPr>
          <w:rFonts w:eastAsia="Times New Roman"/>
        </w:rPr>
        <w:t xml:space="preserve">… </w:t>
      </w:r>
      <w:r w:rsidR="000A1F39" w:rsidRPr="003664FC">
        <w:rPr>
          <w:rFonts w:eastAsia="Times New Roman"/>
        </w:rPr>
        <w:t xml:space="preserve">nonché </w:t>
      </w:r>
      <w:r w:rsidR="000A1F39" w:rsidRPr="002E49AC">
        <w:rPr>
          <w:rFonts w:eastAsia="Times New Roman"/>
          <w:b/>
          <w:bCs/>
        </w:rPr>
        <w:t>dal DM 27/12/2017</w:t>
      </w:r>
      <w:r w:rsidR="000A1F39" w:rsidRPr="003664FC">
        <w:rPr>
          <w:rFonts w:eastAsia="Times New Roman"/>
        </w:rPr>
        <w:t xml:space="preserve"> </w:t>
      </w:r>
      <w:r w:rsidR="0060455B" w:rsidRPr="003664FC">
        <w:rPr>
          <w:rFonts w:eastAsia="Times New Roman"/>
        </w:rPr>
        <w:t>“</w:t>
      </w:r>
      <w:r w:rsidR="0060455B" w:rsidRPr="003664FC">
        <w:rPr>
          <w:rFonts w:eastAsia="Times New Roman"/>
          <w:i/>
          <w:iCs/>
        </w:rPr>
        <w:t>Requisiti dei distributori degli impianti di benzina, attrezzati con sistemi di recupero vapori” ..</w:t>
      </w:r>
      <w:r w:rsidR="0060455B" w:rsidRPr="003664FC">
        <w:rPr>
          <w:rFonts w:eastAsia="Times New Roman"/>
        </w:rPr>
        <w:t>. art.3</w:t>
      </w:r>
      <w:r w:rsidR="008C2B3C" w:rsidRPr="003664FC">
        <w:rPr>
          <w:rFonts w:eastAsia="Times New Roman"/>
        </w:rPr>
        <w:t>:</w:t>
      </w:r>
      <w:r w:rsidR="0060455B" w:rsidRPr="003664FC">
        <w:rPr>
          <w:rFonts w:eastAsia="Times New Roman"/>
        </w:rPr>
        <w:t xml:space="preserve"> </w:t>
      </w:r>
      <w:r w:rsidR="008C2B3C" w:rsidRPr="003664FC">
        <w:rPr>
          <w:rFonts w:eastAsia="Times New Roman"/>
        </w:rPr>
        <w:t>“</w:t>
      </w:r>
      <w:r w:rsidR="0060455B" w:rsidRPr="003664FC">
        <w:rPr>
          <w:rFonts w:eastAsia="Times New Roman"/>
          <w:i/>
          <w:iCs/>
        </w:rPr>
        <w:t xml:space="preserve">i distributori per l'erogazione di </w:t>
      </w:r>
      <w:r w:rsidR="0060455B" w:rsidRPr="003664FC">
        <w:rPr>
          <w:rFonts w:eastAsia="Times New Roman"/>
          <w:i/>
          <w:iCs/>
        </w:rPr>
        <w:lastRenderedPageBreak/>
        <w:t xml:space="preserve">benzina, comprensivi dei sistemi di recupero dei vapori, devono essere provvisti di </w:t>
      </w:r>
      <w:r w:rsidR="0060455B" w:rsidRPr="007C03B8">
        <w:rPr>
          <w:rFonts w:eastAsia="Times New Roman"/>
          <w:i/>
          <w:iCs/>
          <w:u w:val="single"/>
        </w:rPr>
        <w:t>marcatura CE e</w:t>
      </w:r>
      <w:r w:rsidR="0060455B" w:rsidRPr="003664FC">
        <w:rPr>
          <w:rFonts w:eastAsia="Times New Roman"/>
          <w:i/>
          <w:iCs/>
        </w:rPr>
        <w:t xml:space="preserve"> della </w:t>
      </w:r>
      <w:r w:rsidR="0060455B" w:rsidRPr="007C03B8">
        <w:rPr>
          <w:rFonts w:eastAsia="Times New Roman"/>
          <w:i/>
          <w:iCs/>
          <w:u w:val="single"/>
        </w:rPr>
        <w:t>relativa dichiarazione di conformit</w:t>
      </w:r>
      <w:r w:rsidR="00CF6A31" w:rsidRPr="007C03B8">
        <w:rPr>
          <w:rFonts w:eastAsia="Times New Roman"/>
          <w:i/>
          <w:iCs/>
          <w:u w:val="single"/>
        </w:rPr>
        <w:t>à</w:t>
      </w:r>
      <w:r w:rsidR="0060455B" w:rsidRPr="003664FC">
        <w:rPr>
          <w:rFonts w:eastAsia="Times New Roman"/>
          <w:i/>
          <w:iCs/>
        </w:rPr>
        <w:t xml:space="preserve"> </w:t>
      </w:r>
      <w:r w:rsidR="00CF6A31" w:rsidRPr="003664FC">
        <w:rPr>
          <w:rFonts w:eastAsia="Times New Roman"/>
          <w:i/>
          <w:iCs/>
        </w:rPr>
        <w:t>…</w:t>
      </w:r>
      <w:r w:rsidR="008C2B3C" w:rsidRPr="003664FC">
        <w:rPr>
          <w:rFonts w:eastAsia="Times New Roman"/>
          <w:i/>
          <w:iCs/>
        </w:rPr>
        <w:t>”</w:t>
      </w:r>
      <w:r w:rsidR="00530081">
        <w:rPr>
          <w:rFonts w:eastAsia="Times New Roman"/>
          <w:i/>
          <w:iCs/>
        </w:rPr>
        <w:t>.</w:t>
      </w:r>
      <w:r w:rsidR="001275EE" w:rsidRPr="001275EE">
        <w:rPr>
          <w:highlight w:val="cyan"/>
        </w:rPr>
        <w:t xml:space="preserve"> </w:t>
      </w:r>
    </w:p>
    <w:p w14:paraId="01CF4675" w14:textId="52D54DE8" w:rsidR="00530081" w:rsidRPr="003664FC" w:rsidRDefault="00530081" w:rsidP="00CF6A31">
      <w:pPr>
        <w:pStyle w:val="Paragrafoelenco"/>
        <w:numPr>
          <w:ilvl w:val="2"/>
          <w:numId w:val="4"/>
        </w:numPr>
        <w:spacing w:after="0" w:line="240" w:lineRule="auto"/>
        <w:jc w:val="both"/>
        <w:rPr>
          <w:rFonts w:eastAsia="Times New Roman"/>
        </w:rPr>
      </w:pPr>
      <w:r>
        <w:rPr>
          <w:rFonts w:eastAsia="Times New Roman"/>
        </w:rPr>
        <w:t>Il mancato funzionamento del sistema di recupero vapori</w:t>
      </w:r>
      <w:r w:rsidR="008625E4">
        <w:rPr>
          <w:rFonts w:eastAsia="Times New Roman"/>
        </w:rPr>
        <w:t xml:space="preserve">, come la rottura dei sistemi annessi alle colonnine erogatrici </w:t>
      </w:r>
      <w:r w:rsidR="007803A3">
        <w:rPr>
          <w:rFonts w:eastAsia="Times New Roman"/>
        </w:rPr>
        <w:t xml:space="preserve">o fenomeni di tracimazione di carburanti, </w:t>
      </w:r>
      <w:r>
        <w:rPr>
          <w:rFonts w:eastAsia="Times New Roman"/>
        </w:rPr>
        <w:t>p</w:t>
      </w:r>
      <w:r w:rsidR="007803A3">
        <w:rPr>
          <w:rFonts w:eastAsia="Times New Roman"/>
        </w:rPr>
        <w:t>ossono</w:t>
      </w:r>
      <w:r>
        <w:rPr>
          <w:rFonts w:eastAsia="Times New Roman"/>
        </w:rPr>
        <w:t xml:space="preserve"> dar luogo a molestie olfattive, per le quali è possibile chiedere il </w:t>
      </w:r>
      <w:r w:rsidRPr="002F1E7E">
        <w:rPr>
          <w:rFonts w:eastAsia="Times New Roman"/>
        </w:rPr>
        <w:t>supporto tecnico di ARPA</w:t>
      </w:r>
      <w:r w:rsidR="008625E4" w:rsidRPr="002F1E7E">
        <w:rPr>
          <w:rFonts w:eastAsia="Times New Roman"/>
        </w:rPr>
        <w:t>,</w:t>
      </w:r>
      <w:r w:rsidR="008625E4">
        <w:rPr>
          <w:rFonts w:eastAsia="Times New Roman"/>
        </w:rPr>
        <w:t xml:space="preserve"> oltre che, ovviamente, quello dei VV.F.</w:t>
      </w:r>
    </w:p>
    <w:p w14:paraId="7332E97F" w14:textId="012676D2" w:rsidR="00473052" w:rsidRPr="0028105A" w:rsidRDefault="00821A96" w:rsidP="008C2B3C">
      <w:pPr>
        <w:pStyle w:val="Paragrafoelenco"/>
        <w:numPr>
          <w:ilvl w:val="1"/>
          <w:numId w:val="4"/>
        </w:numPr>
        <w:spacing w:after="0" w:line="240" w:lineRule="auto"/>
        <w:contextualSpacing w:val="0"/>
        <w:jc w:val="both"/>
        <w:rPr>
          <w:rFonts w:eastAsia="Times New Roman"/>
          <w:b/>
          <w:bCs/>
        </w:rPr>
      </w:pPr>
      <w:r>
        <w:rPr>
          <w:rFonts w:eastAsia="Times New Roman"/>
          <w:b/>
          <w:bCs/>
        </w:rPr>
        <w:t>A</w:t>
      </w:r>
      <w:r w:rsidR="00AB7910">
        <w:rPr>
          <w:rFonts w:eastAsia="Times New Roman"/>
          <w:b/>
          <w:bCs/>
        </w:rPr>
        <w:t>cque meteoriche</w:t>
      </w:r>
      <w:r w:rsidR="00C500B4">
        <w:rPr>
          <w:rFonts w:eastAsia="Times New Roman"/>
          <w:b/>
          <w:bCs/>
        </w:rPr>
        <w:t xml:space="preserve"> di dilavamento dei piazzali </w:t>
      </w:r>
      <w:r w:rsidR="00866DA2" w:rsidRPr="002F1E7E">
        <w:rPr>
          <w:rFonts w:eastAsia="Times New Roman"/>
          <w:b/>
          <w:bCs/>
        </w:rPr>
        <w:t>(</w:t>
      </w:r>
      <w:proofErr w:type="spellStart"/>
      <w:r w:rsidR="00866DA2" w:rsidRPr="002F1E7E">
        <w:rPr>
          <w:rFonts w:eastAsia="Times New Roman"/>
          <w:b/>
          <w:bCs/>
        </w:rPr>
        <w:t>rif.</w:t>
      </w:r>
      <w:proofErr w:type="spellEnd"/>
      <w:r w:rsidR="00866DA2" w:rsidRPr="002F1E7E">
        <w:rPr>
          <w:rFonts w:eastAsia="Times New Roman"/>
          <w:b/>
          <w:bCs/>
        </w:rPr>
        <w:t xml:space="preserve"> 8-AMB)</w:t>
      </w:r>
    </w:p>
    <w:p w14:paraId="010BB019" w14:textId="5FF62240" w:rsidR="00A4765B" w:rsidRDefault="00A4765B" w:rsidP="00535B82">
      <w:pPr>
        <w:pStyle w:val="Paragrafoelenco"/>
        <w:numPr>
          <w:ilvl w:val="2"/>
          <w:numId w:val="4"/>
        </w:numPr>
        <w:spacing w:after="0" w:line="240" w:lineRule="auto"/>
        <w:jc w:val="both"/>
        <w:rPr>
          <w:rFonts w:eastAsia="Times New Roman"/>
        </w:rPr>
      </w:pPr>
      <w:r w:rsidRPr="002E49AC">
        <w:rPr>
          <w:rFonts w:eastAsia="Times New Roman"/>
          <w:b/>
          <w:bCs/>
        </w:rPr>
        <w:t xml:space="preserve">il </w:t>
      </w:r>
      <w:r w:rsidRPr="002E49AC">
        <w:rPr>
          <w:b/>
          <w:bCs/>
        </w:rPr>
        <w:t>RLI tipo (1985) di Regione Lombardia</w:t>
      </w:r>
      <w:r w:rsidRPr="008801FB">
        <w:t>, punto</w:t>
      </w:r>
      <w:r>
        <w:rPr>
          <w:rFonts w:eastAsia="Times New Roman"/>
        </w:rPr>
        <w:t xml:space="preserve"> </w:t>
      </w:r>
      <w:r w:rsidRPr="009C12B9">
        <w:rPr>
          <w:rFonts w:eastAsia="Times New Roman"/>
        </w:rPr>
        <w:t>2.2.11</w:t>
      </w:r>
      <w:r w:rsidR="009C12B9">
        <w:rPr>
          <w:rFonts w:eastAsia="Times New Roman"/>
          <w:i/>
          <w:iCs/>
        </w:rPr>
        <w:t xml:space="preserve"> </w:t>
      </w:r>
      <w:r w:rsidR="009C12B9">
        <w:rPr>
          <w:rFonts w:eastAsia="Times New Roman"/>
        </w:rPr>
        <w:t>prevede che: “</w:t>
      </w:r>
      <w:r w:rsidRPr="00A4765B">
        <w:rPr>
          <w:rFonts w:eastAsia="Times New Roman"/>
          <w:i/>
          <w:iCs/>
        </w:rPr>
        <w:t xml:space="preserve">Le zone di carico e scarico di sostanze o prodotti contenti sostanze </w:t>
      </w:r>
      <w:r>
        <w:rPr>
          <w:rFonts w:eastAsia="Times New Roman"/>
          <w:i/>
          <w:iCs/>
        </w:rPr>
        <w:t>…</w:t>
      </w:r>
      <w:r w:rsidRPr="00A4765B">
        <w:rPr>
          <w:rFonts w:eastAsia="Times New Roman"/>
          <w:i/>
          <w:iCs/>
        </w:rPr>
        <w:t xml:space="preserve"> </w:t>
      </w:r>
      <w:r w:rsidR="009C12B9">
        <w:rPr>
          <w:rFonts w:eastAsia="Times New Roman"/>
          <w:i/>
          <w:iCs/>
        </w:rPr>
        <w:t>(</w:t>
      </w:r>
      <w:r w:rsidR="0030457E" w:rsidRPr="0030457E">
        <w:rPr>
          <w:rFonts w:eastAsia="Times New Roman"/>
        </w:rPr>
        <w:t>NdR:</w:t>
      </w:r>
      <w:r w:rsidR="0030457E">
        <w:rPr>
          <w:rFonts w:eastAsia="Times New Roman"/>
          <w:i/>
          <w:iCs/>
        </w:rPr>
        <w:t xml:space="preserve"> </w:t>
      </w:r>
      <w:r w:rsidR="009C12B9">
        <w:rPr>
          <w:rFonts w:eastAsia="Times New Roman"/>
          <w:i/>
          <w:iCs/>
        </w:rPr>
        <w:t xml:space="preserve">pericolose) … </w:t>
      </w:r>
      <w:r w:rsidRPr="00A4765B">
        <w:rPr>
          <w:rFonts w:eastAsia="Times New Roman"/>
          <w:i/>
          <w:iCs/>
        </w:rPr>
        <w:t>devono essere impermeabilizzate e dotate di sistemi di raccolta e convogliamento delle acque di dilavamento ad idonei impianti di recupero e/o di depurazione.</w:t>
      </w:r>
      <w:r>
        <w:rPr>
          <w:rFonts w:eastAsia="Times New Roman"/>
          <w:i/>
          <w:iCs/>
        </w:rPr>
        <w:t>”</w:t>
      </w:r>
    </w:p>
    <w:p w14:paraId="2DBCD8AA" w14:textId="0D3E9FD2" w:rsidR="00E802B8" w:rsidRPr="00E802B8" w:rsidRDefault="002D4C69" w:rsidP="00535B82">
      <w:pPr>
        <w:pStyle w:val="Paragrafoelenco"/>
        <w:numPr>
          <w:ilvl w:val="2"/>
          <w:numId w:val="4"/>
        </w:numPr>
        <w:spacing w:after="0" w:line="240" w:lineRule="auto"/>
        <w:jc w:val="both"/>
        <w:rPr>
          <w:rFonts w:eastAsia="Times New Roman"/>
        </w:rPr>
      </w:pPr>
      <w:r w:rsidRPr="00E802B8">
        <w:rPr>
          <w:rFonts w:eastAsia="Times New Roman"/>
        </w:rPr>
        <w:t xml:space="preserve">in base al </w:t>
      </w:r>
      <w:r w:rsidRPr="00FF13E0">
        <w:rPr>
          <w:rFonts w:eastAsia="Times New Roman"/>
          <w:b/>
          <w:bCs/>
        </w:rPr>
        <w:t>D.lgs 152/2006</w:t>
      </w:r>
      <w:r w:rsidRPr="00E802B8">
        <w:rPr>
          <w:rFonts w:eastAsia="Times New Roman"/>
        </w:rPr>
        <w:t xml:space="preserve"> </w:t>
      </w:r>
      <w:r w:rsidRPr="00FF13E0">
        <w:rPr>
          <w:rFonts w:eastAsia="Times New Roman"/>
          <w:b/>
          <w:bCs/>
        </w:rPr>
        <w:t>e s.m.i.</w:t>
      </w:r>
      <w:r w:rsidRPr="00E802B8">
        <w:rPr>
          <w:rFonts w:eastAsia="Times New Roman"/>
        </w:rPr>
        <w:t>, lo scarico delle acque meteoriche è disciplinato con autorizzazione sulla base delle diverse norme regionali</w:t>
      </w:r>
      <w:r w:rsidR="00E802B8" w:rsidRPr="00E802B8">
        <w:rPr>
          <w:rFonts w:eastAsia="Times New Roman"/>
        </w:rPr>
        <w:t xml:space="preserve">: </w:t>
      </w:r>
      <w:r w:rsidR="0030457E" w:rsidRPr="0030457E">
        <w:rPr>
          <w:rFonts w:eastAsia="Times New Roman"/>
        </w:rPr>
        <w:t xml:space="preserve">art.113, </w:t>
      </w:r>
      <w:r w:rsidR="00E802B8" w:rsidRPr="0030457E">
        <w:rPr>
          <w:rFonts w:eastAsia="Times New Roman"/>
        </w:rPr>
        <w:t>c.1</w:t>
      </w:r>
      <w:r w:rsidR="0030457E">
        <w:rPr>
          <w:rFonts w:eastAsia="Times New Roman"/>
          <w:i/>
          <w:iCs/>
        </w:rPr>
        <w:t>:</w:t>
      </w:r>
      <w:r w:rsidR="00E802B8" w:rsidRPr="00E802B8">
        <w:rPr>
          <w:rFonts w:eastAsia="Times New Roman"/>
          <w:i/>
          <w:iCs/>
        </w:rPr>
        <w:t xml:space="preserve"> </w:t>
      </w:r>
      <w:r w:rsidR="0030457E">
        <w:rPr>
          <w:rFonts w:eastAsia="Times New Roman"/>
          <w:i/>
          <w:iCs/>
        </w:rPr>
        <w:t>“</w:t>
      </w:r>
      <w:r w:rsidR="00E802B8" w:rsidRPr="00E802B8">
        <w:rPr>
          <w:rFonts w:eastAsia="Times New Roman"/>
          <w:i/>
          <w:iCs/>
        </w:rPr>
        <w:t xml:space="preserve">Ai fini della prevenzione di rischi idraulici ed ambientali, le </w:t>
      </w:r>
      <w:r w:rsidR="0030457E">
        <w:rPr>
          <w:rFonts w:eastAsia="Times New Roman"/>
          <w:i/>
          <w:iCs/>
        </w:rPr>
        <w:t>R</w:t>
      </w:r>
      <w:r w:rsidR="00E802B8" w:rsidRPr="00E802B8">
        <w:rPr>
          <w:rFonts w:eastAsia="Times New Roman"/>
          <w:i/>
          <w:iCs/>
        </w:rPr>
        <w:t xml:space="preserve">egioni, previo parere del Ministero dell'ambiente e della tutela del territorio e del mare, disciplinano e attuano … </w:t>
      </w:r>
      <w:r w:rsidR="00E802B8" w:rsidRPr="00E802B8">
        <w:rPr>
          <w:rFonts w:eastAsia="Times New Roman"/>
        </w:rPr>
        <w:t>lettera b) …</w:t>
      </w:r>
      <w:r w:rsidR="00E802B8" w:rsidRPr="00E802B8">
        <w:rPr>
          <w:rFonts w:eastAsia="Times New Roman"/>
          <w:i/>
          <w:iCs/>
        </w:rPr>
        <w:t xml:space="preserve"> i casi in cui può essere richiesto che le immissioni delle acque meteoriche di dilavamento, effettuate tramite altre condotte separate, siano sottoposte a particolari prescrizioni, ivi compresa l'eventuale autorizzazione</w:t>
      </w:r>
      <w:r w:rsidR="00E802B8">
        <w:rPr>
          <w:rFonts w:eastAsia="Times New Roman"/>
          <w:i/>
          <w:iCs/>
        </w:rPr>
        <w:t xml:space="preserve">”; </w:t>
      </w:r>
      <w:r w:rsidR="00E802B8" w:rsidRPr="00E802B8">
        <w:rPr>
          <w:rFonts w:eastAsia="Times New Roman"/>
        </w:rPr>
        <w:t>c.3</w:t>
      </w:r>
      <w:r w:rsidR="00E802B8">
        <w:rPr>
          <w:rFonts w:eastAsia="Times New Roman"/>
        </w:rPr>
        <w:t>: “</w:t>
      </w:r>
      <w:r w:rsidR="00E802B8" w:rsidRPr="00E802B8">
        <w:rPr>
          <w:rFonts w:eastAsia="Times New Roman"/>
          <w:i/>
          <w:iCs/>
        </w:rPr>
        <w:t xml:space="preserve">le </w:t>
      </w:r>
      <w:r w:rsidR="0030457E">
        <w:rPr>
          <w:rFonts w:eastAsia="Times New Roman"/>
          <w:i/>
          <w:iCs/>
        </w:rPr>
        <w:t>R</w:t>
      </w:r>
      <w:r w:rsidR="00E802B8" w:rsidRPr="00E802B8">
        <w:rPr>
          <w:rFonts w:eastAsia="Times New Roman"/>
          <w:i/>
          <w:iCs/>
        </w:rPr>
        <w:t>egioni disciplinano altresì i casi in cui può essere richiesto che le acque di prima pioggia e di lavaggio delle aree esterne siano convogliate e opportunamente trattate in impianti di depurazione per particolari condizioni nelle quali, in relazione alle attività svolte, vi sia il rischio di dilavamento da superfici impermeabili scoperte di sostanze pericolose o di sostanze che creano pregiudizio per il raggiungimento degli obiettivi di qualità dei corpi idrici</w:t>
      </w:r>
      <w:r w:rsidR="00E802B8">
        <w:rPr>
          <w:rFonts w:eastAsia="Times New Roman"/>
        </w:rPr>
        <w:t xml:space="preserve"> …”</w:t>
      </w:r>
    </w:p>
    <w:p w14:paraId="551AB420" w14:textId="7ED7C0EA" w:rsidR="009C12B9" w:rsidRDefault="002D4C69" w:rsidP="00055201">
      <w:pPr>
        <w:pStyle w:val="Paragrafoelenco"/>
        <w:numPr>
          <w:ilvl w:val="2"/>
          <w:numId w:val="4"/>
        </w:numPr>
        <w:spacing w:after="0" w:line="240" w:lineRule="auto"/>
        <w:jc w:val="both"/>
        <w:rPr>
          <w:rFonts w:eastAsia="Times New Roman"/>
        </w:rPr>
      </w:pPr>
      <w:r>
        <w:rPr>
          <w:rFonts w:eastAsia="Times New Roman"/>
        </w:rPr>
        <w:t xml:space="preserve">in Regione Lombardia il trattamento </w:t>
      </w:r>
      <w:r w:rsidR="00C500B4">
        <w:rPr>
          <w:rFonts w:eastAsia="Times New Roman"/>
        </w:rPr>
        <w:t xml:space="preserve">e lo scarico </w:t>
      </w:r>
      <w:r>
        <w:rPr>
          <w:rFonts w:eastAsia="Times New Roman"/>
        </w:rPr>
        <w:t>del</w:t>
      </w:r>
      <w:r w:rsidR="0028105A">
        <w:rPr>
          <w:rFonts w:eastAsia="Times New Roman"/>
        </w:rPr>
        <w:t xml:space="preserve">le acque meteoriche derivanti da un P.V. carburanti </w:t>
      </w:r>
      <w:r>
        <w:rPr>
          <w:rFonts w:eastAsia="Times New Roman"/>
        </w:rPr>
        <w:t xml:space="preserve">allo stato attuale </w:t>
      </w:r>
      <w:r w:rsidR="00C500B4">
        <w:rPr>
          <w:rFonts w:eastAsia="Times New Roman"/>
        </w:rPr>
        <w:t xml:space="preserve">sono </w:t>
      </w:r>
      <w:r w:rsidR="0028105A">
        <w:rPr>
          <w:rFonts w:eastAsia="Times New Roman"/>
        </w:rPr>
        <w:t xml:space="preserve">esplicitamente </w:t>
      </w:r>
      <w:r>
        <w:rPr>
          <w:rFonts w:eastAsia="Times New Roman"/>
        </w:rPr>
        <w:t>previst</w:t>
      </w:r>
      <w:r w:rsidR="00C500B4">
        <w:rPr>
          <w:rFonts w:eastAsia="Times New Roman"/>
        </w:rPr>
        <w:t>i</w:t>
      </w:r>
      <w:r w:rsidR="0028105A">
        <w:rPr>
          <w:rFonts w:eastAsia="Times New Roman"/>
        </w:rPr>
        <w:t xml:space="preserve"> dal </w:t>
      </w:r>
      <w:r w:rsidR="0028105A" w:rsidRPr="00FF13E0">
        <w:rPr>
          <w:rFonts w:eastAsia="Times New Roman"/>
          <w:b/>
          <w:bCs/>
        </w:rPr>
        <w:t>RR4/2006</w:t>
      </w:r>
      <w:r w:rsidR="0028105A">
        <w:rPr>
          <w:rFonts w:eastAsia="Times New Roman"/>
        </w:rPr>
        <w:t>, art.</w:t>
      </w:r>
      <w:r w:rsidR="009D14F1">
        <w:rPr>
          <w:rFonts w:eastAsia="Times New Roman"/>
        </w:rPr>
        <w:t xml:space="preserve">3, c.1, lettera </w:t>
      </w:r>
      <w:r>
        <w:rPr>
          <w:rFonts w:eastAsia="Times New Roman"/>
        </w:rPr>
        <w:t>c);</w:t>
      </w:r>
      <w:r w:rsidR="00D156AE">
        <w:rPr>
          <w:rFonts w:eastAsia="Times New Roman"/>
        </w:rPr>
        <w:t xml:space="preserve"> pertanto, ai sensi del</w:t>
      </w:r>
      <w:r w:rsidR="00AB7910">
        <w:rPr>
          <w:rFonts w:eastAsia="Times New Roman"/>
        </w:rPr>
        <w:t xml:space="preserve">l’art.4, </w:t>
      </w:r>
      <w:r w:rsidR="00C500B4" w:rsidRPr="00C500B4">
        <w:rPr>
          <w:rFonts w:eastAsia="Times New Roman"/>
          <w:u w:val="single"/>
        </w:rPr>
        <w:t>lo scarico deve essere</w:t>
      </w:r>
      <w:r w:rsidR="00AB7910" w:rsidRPr="00C500B4">
        <w:rPr>
          <w:rFonts w:eastAsia="Times New Roman"/>
          <w:u w:val="single"/>
        </w:rPr>
        <w:t xml:space="preserve"> autorizzat</w:t>
      </w:r>
      <w:r w:rsidR="00C500B4" w:rsidRPr="00C500B4">
        <w:rPr>
          <w:rFonts w:eastAsia="Times New Roman"/>
          <w:u w:val="single"/>
        </w:rPr>
        <w:t>o</w:t>
      </w:r>
      <w:r w:rsidR="00C500B4">
        <w:rPr>
          <w:rFonts w:eastAsia="Times New Roman"/>
        </w:rPr>
        <w:t xml:space="preserve"> (dalla Provincia / Città Metropolitana)</w:t>
      </w:r>
      <w:r w:rsidR="00AB7910">
        <w:rPr>
          <w:rFonts w:eastAsia="Times New Roman"/>
        </w:rPr>
        <w:t>, con sistema di depurazione continuo (art.5, c.4) o discontinuo (art.5, cc.2 e 3)</w:t>
      </w:r>
      <w:r w:rsidR="007C03B8">
        <w:rPr>
          <w:rFonts w:eastAsia="Times New Roman"/>
        </w:rPr>
        <w:t>;</w:t>
      </w:r>
      <w:r w:rsidR="00A4765B">
        <w:rPr>
          <w:rFonts w:eastAsia="Times New Roman"/>
        </w:rPr>
        <w:t xml:space="preserve"> </w:t>
      </w:r>
    </w:p>
    <w:p w14:paraId="66846D82" w14:textId="27EC48D0" w:rsidR="009C12B9" w:rsidRDefault="00890C62" w:rsidP="007C03B8">
      <w:pPr>
        <w:pStyle w:val="Paragrafoelenco"/>
        <w:numPr>
          <w:ilvl w:val="2"/>
          <w:numId w:val="4"/>
        </w:numPr>
        <w:spacing w:after="0" w:line="240" w:lineRule="auto"/>
        <w:jc w:val="both"/>
        <w:rPr>
          <w:rFonts w:eastAsia="Times New Roman"/>
        </w:rPr>
      </w:pPr>
      <w:r>
        <w:rPr>
          <w:rFonts w:eastAsia="Times New Roman"/>
        </w:rPr>
        <w:t>l</w:t>
      </w:r>
      <w:r w:rsidR="00A4765B">
        <w:rPr>
          <w:rFonts w:eastAsia="Times New Roman"/>
        </w:rPr>
        <w:t xml:space="preserve">e verifiche 15.li sono attuate su PP.V. esistenti, per cui l’autorizzazione allo scarico </w:t>
      </w:r>
      <w:r w:rsidR="00A4765B" w:rsidRPr="00C500B4">
        <w:rPr>
          <w:rFonts w:eastAsia="Times New Roman"/>
          <w:u w:val="single"/>
        </w:rPr>
        <w:t>deve essere già presente</w:t>
      </w:r>
      <w:r w:rsidR="00A4765B">
        <w:rPr>
          <w:rFonts w:eastAsia="Times New Roman"/>
        </w:rPr>
        <w:t xml:space="preserve">; ove non lo fosse, </w:t>
      </w:r>
      <w:r>
        <w:rPr>
          <w:rFonts w:eastAsia="Times New Roman"/>
        </w:rPr>
        <w:t>al</w:t>
      </w:r>
      <w:r w:rsidR="00A4765B">
        <w:rPr>
          <w:rFonts w:eastAsia="Times New Roman"/>
        </w:rPr>
        <w:t>lo scarico dovrebbe</w:t>
      </w:r>
      <w:r>
        <w:rPr>
          <w:rFonts w:eastAsia="Times New Roman"/>
        </w:rPr>
        <w:t>ro essere applicato, tra l’altro,</w:t>
      </w:r>
      <w:r w:rsidR="00A4765B">
        <w:rPr>
          <w:rFonts w:eastAsia="Times New Roman"/>
        </w:rPr>
        <w:t xml:space="preserve"> </w:t>
      </w:r>
      <w:r w:rsidR="009C12B9">
        <w:rPr>
          <w:rFonts w:eastAsia="Times New Roman"/>
        </w:rPr>
        <w:t>l’art.133, c.9 del D.lgs 152/2006 e s.m.i.</w:t>
      </w:r>
      <w:r w:rsidR="00C500B4">
        <w:rPr>
          <w:rFonts w:eastAsia="Times New Roman"/>
        </w:rPr>
        <w:t>;</w:t>
      </w:r>
    </w:p>
    <w:p w14:paraId="0AF4FEFC" w14:textId="1851192F" w:rsidR="00055201" w:rsidRDefault="00271B76" w:rsidP="007C03B8">
      <w:pPr>
        <w:pStyle w:val="Paragrafoelenco"/>
        <w:numPr>
          <w:ilvl w:val="2"/>
          <w:numId w:val="4"/>
        </w:numPr>
        <w:spacing w:after="0" w:line="240" w:lineRule="auto"/>
        <w:jc w:val="both"/>
        <w:rPr>
          <w:rFonts w:eastAsia="Times New Roman"/>
        </w:rPr>
      </w:pPr>
      <w:r>
        <w:rPr>
          <w:rFonts w:eastAsia="Times New Roman"/>
        </w:rPr>
        <w:t>p</w:t>
      </w:r>
      <w:r w:rsidR="008C5B8B">
        <w:rPr>
          <w:rFonts w:eastAsia="Times New Roman"/>
        </w:rPr>
        <w:t xml:space="preserve">er l’autorizzazione potrebbe essere stato chiesto </w:t>
      </w:r>
      <w:r w:rsidR="008C5B8B" w:rsidRPr="00C500B4">
        <w:rPr>
          <w:rFonts w:eastAsia="Times New Roman"/>
          <w:u w:val="single"/>
        </w:rPr>
        <w:t>il rinnovo</w:t>
      </w:r>
      <w:r w:rsidR="008C5B8B">
        <w:rPr>
          <w:rFonts w:eastAsia="Times New Roman"/>
        </w:rPr>
        <w:t xml:space="preserve"> (previsto ogni 4 anni</w:t>
      </w:r>
      <w:r w:rsidR="00530081">
        <w:rPr>
          <w:rFonts w:eastAsia="Times New Roman"/>
        </w:rPr>
        <w:t xml:space="preserve"> dall’art.12, c.1</w:t>
      </w:r>
      <w:r w:rsidR="001275EE">
        <w:rPr>
          <w:rFonts w:eastAsia="Times New Roman"/>
        </w:rPr>
        <w:t xml:space="preserve"> ma attualmente inglobato nell’</w:t>
      </w:r>
      <w:r w:rsidR="001275EE" w:rsidRPr="00FF13E0">
        <w:rPr>
          <w:rFonts w:eastAsia="Times New Roman"/>
          <w:b/>
          <w:bCs/>
        </w:rPr>
        <w:t>AUA</w:t>
      </w:r>
      <w:r w:rsidR="001275EE">
        <w:rPr>
          <w:rFonts w:eastAsia="Times New Roman"/>
        </w:rPr>
        <w:t>, con validità 15.le</w:t>
      </w:r>
      <w:r w:rsidR="008C5B8B">
        <w:rPr>
          <w:rFonts w:eastAsia="Times New Roman"/>
        </w:rPr>
        <w:t>), ma non ancora rilasciato</w:t>
      </w:r>
      <w:r w:rsidR="00530081">
        <w:rPr>
          <w:rFonts w:eastAsia="Times New Roman"/>
        </w:rPr>
        <w:t>: lo scarico può essere mantenuto in essere provvisoriamente, ai sensi dell’art.12,</w:t>
      </w:r>
      <w:r w:rsidR="009714A4">
        <w:rPr>
          <w:rFonts w:eastAsia="Times New Roman"/>
        </w:rPr>
        <w:t xml:space="preserve"> </w:t>
      </w:r>
      <w:r w:rsidR="00530081">
        <w:rPr>
          <w:rFonts w:eastAsia="Times New Roman"/>
        </w:rPr>
        <w:t>c.2</w:t>
      </w:r>
      <w:r w:rsidR="007803A3">
        <w:rPr>
          <w:rFonts w:eastAsia="Times New Roman"/>
        </w:rPr>
        <w:t>;</w:t>
      </w:r>
      <w:r w:rsidR="003620B8">
        <w:rPr>
          <w:rFonts w:eastAsia="Times New Roman"/>
        </w:rPr>
        <w:t xml:space="preserve"> </w:t>
      </w:r>
      <w:r w:rsidR="001275EE">
        <w:rPr>
          <w:rFonts w:eastAsia="Times New Roman"/>
        </w:rPr>
        <w:t>l’autorizzazione allo scarico in c.i.s. è rilasciata dalla Provincia / Città Metropolitana</w:t>
      </w:r>
      <w:r w:rsidR="00446CE9">
        <w:rPr>
          <w:rFonts w:eastAsia="Times New Roman"/>
        </w:rPr>
        <w:t xml:space="preserve">, per lo scarico in </w:t>
      </w:r>
      <w:r w:rsidR="003620B8">
        <w:rPr>
          <w:rFonts w:eastAsia="Times New Roman"/>
        </w:rPr>
        <w:t>p.f. è competenza dell’</w:t>
      </w:r>
      <w:r w:rsidR="00C500B4">
        <w:rPr>
          <w:rFonts w:eastAsia="Times New Roman"/>
        </w:rPr>
        <w:t>Autorità di Gestione dell’</w:t>
      </w:r>
      <w:r w:rsidR="003620B8">
        <w:rPr>
          <w:rFonts w:eastAsia="Times New Roman"/>
        </w:rPr>
        <w:t>A</w:t>
      </w:r>
      <w:r w:rsidR="00C500B4">
        <w:rPr>
          <w:rFonts w:eastAsia="Times New Roman"/>
        </w:rPr>
        <w:t>.</w:t>
      </w:r>
      <w:r w:rsidR="003620B8">
        <w:rPr>
          <w:rFonts w:eastAsia="Times New Roman"/>
        </w:rPr>
        <w:t>T</w:t>
      </w:r>
      <w:r w:rsidR="00C500B4">
        <w:rPr>
          <w:rFonts w:eastAsia="Times New Roman"/>
        </w:rPr>
        <w:t>.</w:t>
      </w:r>
      <w:r w:rsidR="003620B8">
        <w:rPr>
          <w:rFonts w:eastAsia="Times New Roman"/>
        </w:rPr>
        <w:t>O</w:t>
      </w:r>
      <w:r w:rsidR="00C500B4">
        <w:rPr>
          <w:rFonts w:eastAsia="Times New Roman"/>
        </w:rPr>
        <w:t>.</w:t>
      </w:r>
      <w:r w:rsidR="001275EE">
        <w:rPr>
          <w:rFonts w:eastAsia="Times New Roman"/>
        </w:rPr>
        <w:t xml:space="preserve">; in entrambi i casi </w:t>
      </w:r>
      <w:r w:rsidR="003620B8">
        <w:rPr>
          <w:rFonts w:eastAsia="Times New Roman"/>
        </w:rPr>
        <w:t>non è previsto il supporto di ARPA.</w:t>
      </w:r>
    </w:p>
    <w:p w14:paraId="7A3FCBAE" w14:textId="4A9C985E" w:rsidR="007748F3" w:rsidRDefault="007748F3" w:rsidP="007748F3">
      <w:pPr>
        <w:spacing w:after="0" w:line="240" w:lineRule="auto"/>
        <w:jc w:val="both"/>
        <w:rPr>
          <w:rFonts w:eastAsia="Times New Roman"/>
        </w:rPr>
      </w:pPr>
    </w:p>
    <w:p w14:paraId="6CCC1209" w14:textId="77777777" w:rsidR="00223BA9" w:rsidRDefault="00223BA9" w:rsidP="00223BA9">
      <w:pPr>
        <w:jc w:val="both"/>
        <w:rPr>
          <w:rFonts w:eastAsia="Times New Roman"/>
          <w:color w:val="FF0000"/>
        </w:rPr>
      </w:pPr>
    </w:p>
    <w:p w14:paraId="1F8418F8" w14:textId="2C3DF1E2" w:rsidR="00223BA9" w:rsidRDefault="00223BA9" w:rsidP="00223BA9">
      <w:r w:rsidRPr="00514B9A">
        <w:rPr>
          <w:rFonts w:eastAsia="Times New Roman"/>
          <w:b/>
          <w:bCs/>
        </w:rPr>
        <w:t>Le valutazioni tecniche da parte di ARPA</w:t>
      </w:r>
      <w:r>
        <w:rPr>
          <w:rFonts w:eastAsia="Times New Roman"/>
        </w:rPr>
        <w:t xml:space="preserve">, ove necessarie, </w:t>
      </w:r>
      <w:r w:rsidRPr="00AB7B89">
        <w:rPr>
          <w:rFonts w:eastAsia="Times New Roman"/>
        </w:rPr>
        <w:t>verranno svolte con oneri a carico del</w:t>
      </w:r>
      <w:r>
        <w:rPr>
          <w:rFonts w:eastAsia="Times New Roman"/>
        </w:rPr>
        <w:t xml:space="preserve"> </w:t>
      </w:r>
      <w:r w:rsidRPr="00AB7B89">
        <w:rPr>
          <w:rFonts w:eastAsia="Times New Roman"/>
        </w:rPr>
        <w:t>soggetto</w:t>
      </w:r>
      <w:r w:rsidR="00FD17C2">
        <w:rPr>
          <w:rFonts w:eastAsia="Times New Roman"/>
        </w:rPr>
        <w:t xml:space="preserve"> </w:t>
      </w:r>
      <w:r w:rsidR="00FD17C2" w:rsidRPr="002F1E7E">
        <w:rPr>
          <w:rFonts w:eastAsia="Times New Roman"/>
        </w:rPr>
        <w:t xml:space="preserve">che ha presentato l’istanza per la </w:t>
      </w:r>
      <w:r w:rsidRPr="00AB7B89">
        <w:rPr>
          <w:rFonts w:eastAsia="Times New Roman"/>
        </w:rPr>
        <w:t>verifica quindicennale, secondo le previsioni dell’art.15</w:t>
      </w:r>
      <w:r>
        <w:rPr>
          <w:rFonts w:eastAsia="Times New Roman"/>
        </w:rPr>
        <w:t xml:space="preserve">, </w:t>
      </w:r>
      <w:r w:rsidRPr="00AB7B89">
        <w:rPr>
          <w:rFonts w:eastAsia="Times New Roman"/>
        </w:rPr>
        <w:t>c</w:t>
      </w:r>
      <w:r>
        <w:rPr>
          <w:rFonts w:eastAsia="Times New Roman"/>
        </w:rPr>
        <w:t>.</w:t>
      </w:r>
      <w:r w:rsidRPr="00AB7B89">
        <w:rPr>
          <w:rFonts w:eastAsia="Times New Roman"/>
        </w:rPr>
        <w:t xml:space="preserve">2 della </w:t>
      </w:r>
      <w:r>
        <w:rPr>
          <w:rFonts w:eastAsia="Times New Roman"/>
        </w:rPr>
        <w:t>L.</w:t>
      </w:r>
      <w:r w:rsidRPr="00AB7B89">
        <w:rPr>
          <w:rFonts w:eastAsia="Times New Roman"/>
        </w:rPr>
        <w:t>132/</w:t>
      </w:r>
      <w:r>
        <w:rPr>
          <w:rFonts w:eastAsia="Times New Roman"/>
        </w:rPr>
        <w:t>20</w:t>
      </w:r>
      <w:r w:rsidRPr="00AB7B89">
        <w:rPr>
          <w:rFonts w:eastAsia="Times New Roman"/>
        </w:rPr>
        <w:t>16. Nelle more dell’approvazione del Tariffario Nazionale,</w:t>
      </w:r>
      <w:r>
        <w:rPr>
          <w:rFonts w:eastAsia="Times New Roman"/>
        </w:rPr>
        <w:t xml:space="preserve"> </w:t>
      </w:r>
      <w:r w:rsidRPr="00AB7B89">
        <w:rPr>
          <w:rFonts w:eastAsia="Times New Roman"/>
        </w:rPr>
        <w:t>trova applicazione il Tariffario di ARPA Lombardia, consultabile su</w:t>
      </w:r>
      <w:r>
        <w:rPr>
          <w:rFonts w:eastAsia="Times New Roman"/>
        </w:rPr>
        <w:t xml:space="preserve">l </w:t>
      </w:r>
      <w:r w:rsidRPr="00AB7B89">
        <w:rPr>
          <w:rFonts w:eastAsia="Times New Roman"/>
        </w:rPr>
        <w:t>sito</w:t>
      </w:r>
      <w:r>
        <w:rPr>
          <w:rFonts w:eastAsia="Times New Roman"/>
        </w:rPr>
        <w:t xml:space="preserve"> istituzionale, al seguente indirizzo: </w:t>
      </w:r>
      <w:hyperlink r:id="rId8" w:history="1">
        <w:r w:rsidRPr="002F1E7E">
          <w:rPr>
            <w:rStyle w:val="Collegamentoipertestuale"/>
            <w:color w:val="auto"/>
            <w:u w:val="none"/>
          </w:rPr>
          <w:t>https://www.arpalombardia.it/Pages/Tariffario.aspx</w:t>
        </w:r>
      </w:hyperlink>
    </w:p>
    <w:p w14:paraId="29BE968C" w14:textId="77777777" w:rsidR="00223BA9" w:rsidRPr="00AB7B89" w:rsidRDefault="00223BA9" w:rsidP="00223BA9">
      <w:pPr>
        <w:autoSpaceDE w:val="0"/>
        <w:autoSpaceDN w:val="0"/>
        <w:adjustRightInd w:val="0"/>
        <w:spacing w:after="0" w:line="240" w:lineRule="auto"/>
        <w:jc w:val="both"/>
        <w:rPr>
          <w:rFonts w:eastAsia="Times New Roman"/>
        </w:rPr>
      </w:pPr>
    </w:p>
    <w:p w14:paraId="0FA23208" w14:textId="54384CFC" w:rsidR="00223BA9" w:rsidRDefault="00223BA9" w:rsidP="00223BA9">
      <w:pPr>
        <w:jc w:val="both"/>
        <w:rPr>
          <w:rFonts w:eastAsia="Times New Roman"/>
        </w:rPr>
      </w:pPr>
      <w:r w:rsidRPr="00514B9A">
        <w:rPr>
          <w:rFonts w:eastAsia="Times New Roman"/>
          <w:b/>
          <w:bCs/>
        </w:rPr>
        <w:t>La compatibilità con i vincoli urbanistici ed edificatori</w:t>
      </w:r>
      <w:r w:rsidRPr="00AB7B89">
        <w:rPr>
          <w:rFonts w:eastAsia="Times New Roman"/>
        </w:rPr>
        <w:t xml:space="preserve"> è </w:t>
      </w:r>
      <w:r>
        <w:rPr>
          <w:rFonts w:eastAsia="Times New Roman"/>
        </w:rPr>
        <w:t xml:space="preserve">di completa </w:t>
      </w:r>
      <w:r w:rsidRPr="00AB7B89">
        <w:rPr>
          <w:rFonts w:eastAsia="Times New Roman"/>
        </w:rPr>
        <w:t>competenza del Comune</w:t>
      </w:r>
      <w:r w:rsidR="002E15EC">
        <w:rPr>
          <w:rFonts w:eastAsia="Times New Roman"/>
        </w:rPr>
        <w:t xml:space="preserve"> </w:t>
      </w:r>
      <w:r w:rsidR="00FD17C2" w:rsidRPr="002F1E7E">
        <w:rPr>
          <w:rFonts w:eastAsia="Times New Roman"/>
        </w:rPr>
        <w:t xml:space="preserve">e pertanto </w:t>
      </w:r>
      <w:r>
        <w:rPr>
          <w:rFonts w:eastAsia="Times New Roman"/>
        </w:rPr>
        <w:t>non è previsto il supporto di ARPA.</w:t>
      </w:r>
    </w:p>
    <w:p w14:paraId="55F64A16" w14:textId="77777777" w:rsidR="00223BA9" w:rsidRDefault="00223BA9" w:rsidP="00223BA9">
      <w:pPr>
        <w:jc w:val="both"/>
        <w:rPr>
          <w:rFonts w:eastAsia="Times New Roman"/>
          <w:color w:val="FF0000"/>
        </w:rPr>
      </w:pPr>
    </w:p>
    <w:p w14:paraId="7517AF49" w14:textId="49275088" w:rsidR="00223BA9" w:rsidRPr="002F1E7E" w:rsidRDefault="007748F3" w:rsidP="00223BA9">
      <w:pPr>
        <w:jc w:val="both"/>
        <w:rPr>
          <w:i/>
          <w:iCs/>
          <w:sz w:val="24"/>
          <w:szCs w:val="24"/>
        </w:rPr>
      </w:pPr>
      <w:r w:rsidRPr="002F1E7E">
        <w:rPr>
          <w:rFonts w:eastAsia="Times New Roman"/>
          <w:i/>
          <w:iCs/>
          <w:sz w:val="24"/>
          <w:szCs w:val="24"/>
        </w:rPr>
        <w:lastRenderedPageBreak/>
        <w:t xml:space="preserve">Per un </w:t>
      </w:r>
      <w:r w:rsidR="00223BA9" w:rsidRPr="002F1E7E">
        <w:rPr>
          <w:rFonts w:eastAsia="Times New Roman"/>
          <w:i/>
          <w:iCs/>
          <w:sz w:val="24"/>
          <w:szCs w:val="24"/>
        </w:rPr>
        <w:t>più approfondito</w:t>
      </w:r>
      <w:r w:rsidRPr="002F1E7E">
        <w:rPr>
          <w:rFonts w:eastAsia="Times New Roman"/>
          <w:i/>
          <w:iCs/>
          <w:sz w:val="24"/>
          <w:szCs w:val="24"/>
        </w:rPr>
        <w:t xml:space="preserve"> esame della situazione</w:t>
      </w:r>
      <w:r w:rsidR="00223BA9" w:rsidRPr="002F1E7E">
        <w:rPr>
          <w:rFonts w:eastAsia="Times New Roman"/>
          <w:i/>
          <w:iCs/>
          <w:sz w:val="24"/>
          <w:szCs w:val="24"/>
        </w:rPr>
        <w:t xml:space="preserve"> ambientale</w:t>
      </w:r>
      <w:r w:rsidRPr="002F1E7E">
        <w:rPr>
          <w:rFonts w:eastAsia="Times New Roman"/>
          <w:i/>
          <w:iCs/>
          <w:sz w:val="24"/>
          <w:szCs w:val="24"/>
        </w:rPr>
        <w:t xml:space="preserve"> dell’impianto. </w:t>
      </w:r>
      <w:r w:rsidR="00223BA9" w:rsidRPr="002F1E7E">
        <w:rPr>
          <w:rFonts w:eastAsia="Times New Roman"/>
          <w:i/>
          <w:iCs/>
          <w:sz w:val="24"/>
          <w:szCs w:val="24"/>
        </w:rPr>
        <w:t>o</w:t>
      </w:r>
      <w:r w:rsidRPr="002F1E7E">
        <w:rPr>
          <w:rFonts w:eastAsia="Times New Roman"/>
          <w:i/>
          <w:iCs/>
          <w:sz w:val="24"/>
          <w:szCs w:val="24"/>
        </w:rPr>
        <w:t>ltre a quanto previsto</w:t>
      </w:r>
      <w:r w:rsidR="00223BA9" w:rsidRPr="002F1E7E">
        <w:rPr>
          <w:rFonts w:eastAsia="Times New Roman"/>
          <w:i/>
          <w:iCs/>
          <w:sz w:val="24"/>
          <w:szCs w:val="24"/>
        </w:rPr>
        <w:t xml:space="preserve"> dal decreto n.</w:t>
      </w:r>
      <w:r w:rsidR="00223BA9" w:rsidRPr="002F1E7E">
        <w:rPr>
          <w:i/>
          <w:iCs/>
          <w:sz w:val="24"/>
          <w:szCs w:val="24"/>
        </w:rPr>
        <w:t xml:space="preserve"> 8143 del 6 luglio 2017 quale controllo minimo, sarebbe opportuno monitorare, anche in occasione delle verifiche quindicennali, alcuni elementi costitutivi o aspetti direttamente collegati all’impianto</w:t>
      </w:r>
      <w:r w:rsidR="00FD17C2" w:rsidRPr="002F1E7E">
        <w:rPr>
          <w:i/>
          <w:iCs/>
          <w:sz w:val="24"/>
          <w:szCs w:val="24"/>
        </w:rPr>
        <w:t>,</w:t>
      </w:r>
      <w:r w:rsidR="00223BA9" w:rsidRPr="002F1E7E">
        <w:rPr>
          <w:i/>
          <w:iCs/>
          <w:sz w:val="24"/>
          <w:szCs w:val="24"/>
        </w:rPr>
        <w:t xml:space="preserve"> di seguito riportati: </w:t>
      </w:r>
    </w:p>
    <w:p w14:paraId="2858F425" w14:textId="4CE0ADED" w:rsidR="007748F3" w:rsidRDefault="007748F3" w:rsidP="007748F3">
      <w:pPr>
        <w:spacing w:after="0" w:line="240" w:lineRule="auto"/>
        <w:jc w:val="both"/>
        <w:rPr>
          <w:rFonts w:eastAsia="Times New Roman"/>
        </w:rPr>
      </w:pPr>
      <w:r>
        <w:rPr>
          <w:rFonts w:eastAsia="Times New Roman"/>
        </w:rPr>
        <w:t xml:space="preserve">  </w:t>
      </w:r>
    </w:p>
    <w:p w14:paraId="627D38F5" w14:textId="78FF035D" w:rsidR="0032705D" w:rsidRDefault="0032705D" w:rsidP="007748F3">
      <w:pPr>
        <w:spacing w:after="0" w:line="240" w:lineRule="auto"/>
        <w:jc w:val="both"/>
        <w:rPr>
          <w:rFonts w:eastAsia="Times New Roman"/>
        </w:rPr>
      </w:pPr>
    </w:p>
    <w:p w14:paraId="6A310A5B" w14:textId="77777777" w:rsidR="0032705D" w:rsidRDefault="0032705D" w:rsidP="007748F3">
      <w:pPr>
        <w:spacing w:after="0" w:line="240" w:lineRule="auto"/>
        <w:jc w:val="both"/>
        <w:rPr>
          <w:rFonts w:eastAsia="Times New Roman"/>
        </w:rPr>
      </w:pPr>
    </w:p>
    <w:p w14:paraId="66994790" w14:textId="77777777" w:rsidR="007748F3" w:rsidRPr="0003665E" w:rsidRDefault="007748F3" w:rsidP="007748F3">
      <w:pPr>
        <w:pStyle w:val="Paragrafoelenco"/>
        <w:numPr>
          <w:ilvl w:val="1"/>
          <w:numId w:val="4"/>
        </w:numPr>
        <w:jc w:val="both"/>
        <w:rPr>
          <w:b/>
          <w:bCs/>
        </w:rPr>
      </w:pPr>
      <w:r>
        <w:rPr>
          <w:b/>
          <w:bCs/>
        </w:rPr>
        <w:t>D</w:t>
      </w:r>
      <w:r w:rsidRPr="0003665E">
        <w:rPr>
          <w:b/>
          <w:bCs/>
        </w:rPr>
        <w:t>ispositivo anti-sovrappieno</w:t>
      </w:r>
    </w:p>
    <w:p w14:paraId="215B5ACC" w14:textId="77777777" w:rsidR="007748F3" w:rsidRDefault="007748F3" w:rsidP="007748F3">
      <w:pPr>
        <w:pStyle w:val="Paragrafoelenco"/>
        <w:numPr>
          <w:ilvl w:val="2"/>
          <w:numId w:val="4"/>
        </w:numPr>
        <w:jc w:val="both"/>
      </w:pPr>
      <w:r>
        <w:t xml:space="preserve">questo dispositivo risulta fondamentale per evitare tracimazioni di carburante in fase di carico del serbatoio interrato da parte dell’autocisterna; </w:t>
      </w:r>
    </w:p>
    <w:p w14:paraId="48B704C6" w14:textId="77777777" w:rsidR="007748F3" w:rsidRPr="00AB0200" w:rsidRDefault="007748F3" w:rsidP="007748F3">
      <w:pPr>
        <w:pStyle w:val="Paragrafoelenco"/>
        <w:numPr>
          <w:ilvl w:val="2"/>
          <w:numId w:val="4"/>
        </w:numPr>
        <w:jc w:val="both"/>
      </w:pPr>
      <w:r w:rsidRPr="0003665E">
        <w:t xml:space="preserve">il </w:t>
      </w:r>
      <w:r w:rsidRPr="00FF13E0">
        <w:rPr>
          <w:b/>
          <w:bCs/>
        </w:rPr>
        <w:t>DM 29/11/2002</w:t>
      </w:r>
      <w:r w:rsidRPr="0003665E">
        <w:t xml:space="preserve">, art.2, c.4, ne prevede la </w:t>
      </w:r>
      <w:r w:rsidRPr="00AB0200">
        <w:rPr>
          <w:u w:val="single"/>
        </w:rPr>
        <w:t>presenza</w:t>
      </w:r>
      <w:r w:rsidRPr="002F1E7E">
        <w:t xml:space="preserve">, </w:t>
      </w:r>
      <w:bookmarkStart w:id="0" w:name="_Hlk26891255"/>
      <w:r w:rsidRPr="002F1E7E">
        <w:t>per i nuovi serbatoi</w:t>
      </w:r>
      <w:bookmarkEnd w:id="0"/>
      <w:r>
        <w:t xml:space="preserve">, </w:t>
      </w:r>
      <w:r w:rsidRPr="0003665E">
        <w:t xml:space="preserve">che quindi dovrà essere </w:t>
      </w:r>
      <w:r w:rsidRPr="00AB0200">
        <w:rPr>
          <w:u w:val="single"/>
        </w:rPr>
        <w:t>attestata</w:t>
      </w:r>
      <w:r w:rsidRPr="0003665E">
        <w:t xml:space="preserve"> dal Gestore o dalla Proprietà </w:t>
      </w:r>
      <w:r w:rsidRPr="00AB0200">
        <w:rPr>
          <w:u w:val="single"/>
        </w:rPr>
        <w:t>con specifica dichiarazione</w:t>
      </w:r>
      <w:r>
        <w:t xml:space="preserve"> che ne attesti la </w:t>
      </w:r>
      <w:r w:rsidRPr="00AB0200">
        <w:rPr>
          <w:u w:val="single"/>
        </w:rPr>
        <w:t>corretta funzionalità</w:t>
      </w:r>
      <w:r w:rsidRPr="00AB0200">
        <w:t xml:space="preserve">, </w:t>
      </w:r>
      <w:r>
        <w:t xml:space="preserve">in quanto </w:t>
      </w:r>
      <w:r w:rsidRPr="00AB0200">
        <w:rPr>
          <w:rFonts w:eastAsia="Times New Roman"/>
        </w:rPr>
        <w:t xml:space="preserve">una modalità di carico errata può danneggiare questo dispositivo, fondamentale </w:t>
      </w:r>
      <w:r>
        <w:rPr>
          <w:rFonts w:eastAsia="Times New Roman"/>
        </w:rPr>
        <w:t xml:space="preserve">perché </w:t>
      </w:r>
      <w:r w:rsidRPr="00AB0200">
        <w:rPr>
          <w:rFonts w:eastAsia="Times New Roman"/>
        </w:rPr>
        <w:t>traboccamenti in fase di carico dalla autocisterna</w:t>
      </w:r>
      <w:r>
        <w:rPr>
          <w:rFonts w:eastAsia="Times New Roman"/>
        </w:rPr>
        <w:t xml:space="preserve"> provocano </w:t>
      </w:r>
      <w:r w:rsidRPr="00AB0200">
        <w:rPr>
          <w:rFonts w:eastAsia="Times New Roman"/>
        </w:rPr>
        <w:t>spandimenti di carburante dentro il pozzetto di carico e sul piazzale del p.v., con le relative conseguenze</w:t>
      </w:r>
      <w:r>
        <w:rPr>
          <w:rFonts w:eastAsia="Times New Roman"/>
        </w:rPr>
        <w:t>;</w:t>
      </w:r>
    </w:p>
    <w:p w14:paraId="303EF067" w14:textId="77777777" w:rsidR="007748F3" w:rsidRPr="00967D2C" w:rsidRDefault="007748F3" w:rsidP="007748F3">
      <w:pPr>
        <w:pStyle w:val="Paragrafoelenco"/>
        <w:numPr>
          <w:ilvl w:val="2"/>
          <w:numId w:val="4"/>
        </w:numPr>
        <w:jc w:val="both"/>
      </w:pPr>
      <w:r>
        <w:rPr>
          <w:rFonts w:eastAsia="Times New Roman"/>
        </w:rPr>
        <w:t>la sua manutenzione deve figurare nel registro di impianto.</w:t>
      </w:r>
    </w:p>
    <w:p w14:paraId="79997C67" w14:textId="77777777" w:rsidR="007748F3" w:rsidRPr="0003665E" w:rsidRDefault="007748F3" w:rsidP="007748F3">
      <w:pPr>
        <w:pStyle w:val="Paragrafoelenco"/>
        <w:numPr>
          <w:ilvl w:val="1"/>
          <w:numId w:val="4"/>
        </w:numPr>
        <w:spacing w:after="0" w:line="240" w:lineRule="auto"/>
        <w:contextualSpacing w:val="0"/>
        <w:jc w:val="both"/>
        <w:rPr>
          <w:rFonts w:eastAsia="Times New Roman"/>
          <w:b/>
          <w:bCs/>
        </w:rPr>
      </w:pPr>
      <w:r>
        <w:rPr>
          <w:rFonts w:eastAsia="Times New Roman"/>
          <w:b/>
          <w:bCs/>
        </w:rPr>
        <w:t>P</w:t>
      </w:r>
      <w:r w:rsidRPr="0003665E">
        <w:rPr>
          <w:rFonts w:eastAsia="Times New Roman"/>
          <w:b/>
          <w:bCs/>
        </w:rPr>
        <w:t xml:space="preserve">ozzetto di carico </w:t>
      </w:r>
    </w:p>
    <w:p w14:paraId="10466538" w14:textId="77777777" w:rsidR="007748F3" w:rsidRPr="0003665E" w:rsidRDefault="007748F3" w:rsidP="007748F3">
      <w:pPr>
        <w:pStyle w:val="Paragrafoelenco"/>
        <w:numPr>
          <w:ilvl w:val="2"/>
          <w:numId w:val="4"/>
        </w:numPr>
        <w:spacing w:after="0" w:line="240" w:lineRule="auto"/>
        <w:contextualSpacing w:val="0"/>
        <w:jc w:val="both"/>
        <w:rPr>
          <w:rFonts w:eastAsia="Times New Roman"/>
        </w:rPr>
      </w:pPr>
      <w:r w:rsidRPr="0003665E">
        <w:rPr>
          <w:rFonts w:eastAsia="Times New Roman"/>
        </w:rPr>
        <w:t xml:space="preserve">il pozzetto </w:t>
      </w:r>
      <w:r>
        <w:rPr>
          <w:rFonts w:eastAsia="Times New Roman"/>
        </w:rPr>
        <w:t xml:space="preserve">posto intorno al boccaporto di carico del serbatoio, </w:t>
      </w:r>
      <w:r w:rsidRPr="0003665E">
        <w:rPr>
          <w:rFonts w:eastAsia="Times New Roman"/>
        </w:rPr>
        <w:t xml:space="preserve">ove sono alloggiate </w:t>
      </w:r>
      <w:r>
        <w:rPr>
          <w:rFonts w:eastAsia="Times New Roman"/>
        </w:rPr>
        <w:t xml:space="preserve">anche </w:t>
      </w:r>
      <w:r w:rsidRPr="0003665E">
        <w:rPr>
          <w:rFonts w:eastAsia="Times New Roman"/>
        </w:rPr>
        <w:t>le tubazioni saldate sul serbatoio</w:t>
      </w:r>
      <w:r>
        <w:rPr>
          <w:rFonts w:eastAsia="Times New Roman"/>
        </w:rPr>
        <w:t>,</w:t>
      </w:r>
      <w:r w:rsidRPr="0003665E">
        <w:rPr>
          <w:rFonts w:eastAsia="Times New Roman"/>
        </w:rPr>
        <w:t xml:space="preserve"> è un punto critico per la sicurezza ambientale, in quanto il gocciolamento che si determina dalla tubazione dell’autocisterna ad ogni carico del carburante nel serbatoio interrato, dovrebbe essere contenuto dal pozzetto di carico, le cui caratteristiche di </w:t>
      </w:r>
      <w:r w:rsidRPr="006C70B6">
        <w:rPr>
          <w:rFonts w:eastAsia="Times New Roman"/>
          <w:u w:val="single"/>
        </w:rPr>
        <w:t>impermeabilità</w:t>
      </w:r>
      <w:r w:rsidRPr="0003665E">
        <w:rPr>
          <w:rFonts w:eastAsia="Times New Roman"/>
        </w:rPr>
        <w:t xml:space="preserve"> sono richieste dal </w:t>
      </w:r>
      <w:r w:rsidRPr="00FF13E0">
        <w:rPr>
          <w:rFonts w:eastAsia="Times New Roman"/>
          <w:b/>
          <w:bCs/>
        </w:rPr>
        <w:t>DM 31/7/34</w:t>
      </w:r>
      <w:r w:rsidRPr="0003665E">
        <w:rPr>
          <w:rFonts w:eastAsia="Times New Roman"/>
        </w:rPr>
        <w:t xml:space="preserve">, art.64 </w:t>
      </w:r>
      <w:r w:rsidRPr="0003665E">
        <w:rPr>
          <w:rFonts w:eastAsia="Times New Roman"/>
          <w:i/>
          <w:iCs/>
        </w:rPr>
        <w:t>(</w:t>
      </w:r>
      <w:r w:rsidRPr="0003665E">
        <w:rPr>
          <w:i/>
          <w:iCs/>
        </w:rPr>
        <w:t>I passi d’uomo devono essere racchiusi in un pozzetto di muratura, a pareti impermeabili, coperto da chiusino metallico, provvisto di serratura a chiave. I bordi del pozzetto devono essere tenuti più alti di almeno 10 centimetri del livello del terreno circostante, per evitare la penetrazione dell’acqua)</w:t>
      </w:r>
      <w:r w:rsidRPr="0003665E">
        <w:t xml:space="preserve">. </w:t>
      </w:r>
    </w:p>
    <w:p w14:paraId="77A5DB19" w14:textId="77777777" w:rsidR="007748F3" w:rsidRPr="0003665E" w:rsidRDefault="007748F3" w:rsidP="007748F3">
      <w:pPr>
        <w:pStyle w:val="Paragrafoelenco"/>
        <w:numPr>
          <w:ilvl w:val="2"/>
          <w:numId w:val="4"/>
        </w:numPr>
        <w:jc w:val="both"/>
      </w:pPr>
      <w:r w:rsidRPr="00FF13E0">
        <w:rPr>
          <w:b/>
          <w:bCs/>
        </w:rPr>
        <w:t>Le LLG 2013 ARPA</w:t>
      </w:r>
      <w:r w:rsidRPr="0003665E">
        <w:t xml:space="preserve">, al punto 4.1, evidenziano la </w:t>
      </w:r>
      <w:r w:rsidRPr="006C70B6">
        <w:rPr>
          <w:u w:val="single"/>
        </w:rPr>
        <w:t>criticità</w:t>
      </w:r>
      <w:r w:rsidRPr="0003665E">
        <w:t xml:space="preserve"> legata al posizionamento di un </w:t>
      </w:r>
      <w:r w:rsidRPr="006C70B6">
        <w:rPr>
          <w:u w:val="single"/>
        </w:rPr>
        <w:t>pozzetto in muratura</w:t>
      </w:r>
      <w:r w:rsidRPr="0003665E">
        <w:t xml:space="preserve"> sopra un serbatoio metallico, criticità che può determinare la perdita di impermeabilità del pozzetto stesso; diversamente, un pozzetto metallico saldato in continuo sul serbatoio, risulta impermeabile nel tempo. Pertanto risulta importante </w:t>
      </w:r>
      <w:r w:rsidRPr="006C70B6">
        <w:rPr>
          <w:u w:val="single"/>
        </w:rPr>
        <w:t>acquisire notizia delle caratteristiche costruttive del pozzetto</w:t>
      </w:r>
      <w:r w:rsidRPr="008801FB">
        <w:t xml:space="preserve">: </w:t>
      </w:r>
      <w:r>
        <w:t xml:space="preserve">in tal senso </w:t>
      </w:r>
      <w:r w:rsidRPr="008801FB">
        <w:t xml:space="preserve">è opportuno che il Comune </w:t>
      </w:r>
      <w:r>
        <w:t xml:space="preserve">acquisisca </w:t>
      </w:r>
      <w:r w:rsidRPr="00A6687D">
        <w:rPr>
          <w:u w:val="single"/>
        </w:rPr>
        <w:t>fotografie</w:t>
      </w:r>
      <w:r>
        <w:t xml:space="preserve"> dello stato del pozzetto, </w:t>
      </w:r>
      <w:r>
        <w:rPr>
          <w:rFonts w:eastAsia="Times New Roman"/>
        </w:rPr>
        <w:t>nel caso sia in muratura</w:t>
      </w:r>
      <w:r w:rsidRPr="00E802B8">
        <w:rPr>
          <w:rFonts w:eastAsia="Times New Roman"/>
        </w:rPr>
        <w:t xml:space="preserve">, </w:t>
      </w:r>
      <w:r w:rsidRPr="006C70B6">
        <w:rPr>
          <w:u w:val="single"/>
        </w:rPr>
        <w:t>ne prescriva il controllo della tenuta</w:t>
      </w:r>
      <w:r w:rsidRPr="008801FB">
        <w:t xml:space="preserve">, </w:t>
      </w:r>
      <w:r w:rsidRPr="00710A9C">
        <w:rPr>
          <w:u w:val="single"/>
        </w:rPr>
        <w:t>almeno una volta l’anno</w:t>
      </w:r>
      <w:r w:rsidRPr="008801FB">
        <w:t xml:space="preserve">, </w:t>
      </w:r>
      <w:r w:rsidRPr="00710A9C">
        <w:rPr>
          <w:u w:val="single"/>
        </w:rPr>
        <w:t xml:space="preserve">e, in caso la tenuta sia venuta meno, </w:t>
      </w:r>
      <w:r w:rsidRPr="006C70B6">
        <w:rPr>
          <w:u w:val="single"/>
        </w:rPr>
        <w:t>il suo ripristino</w:t>
      </w:r>
      <w:r>
        <w:t xml:space="preserve"> (es. mediante sabbiatura, ripristino strutturale e resinatura)</w:t>
      </w:r>
      <w:r w:rsidRPr="0003665E">
        <w:t xml:space="preserve">; infatti il </w:t>
      </w:r>
      <w:r w:rsidRPr="00FF13E0">
        <w:rPr>
          <w:b/>
          <w:bCs/>
        </w:rPr>
        <w:t>DM 29/11/2002</w:t>
      </w:r>
      <w:r w:rsidRPr="0003665E">
        <w:t xml:space="preserve">, all’art.3, prescrive </w:t>
      </w:r>
      <w:r w:rsidRPr="0003665E">
        <w:rPr>
          <w:i/>
          <w:iCs/>
        </w:rPr>
        <w:t xml:space="preserve">…”nella conduzione dei serbatoi interrati sono attuate tutte le procedure di buona gestione che assicurino la prevenzione dei rilasci, dei traboccamenti e degli sversamenti del contenuto. … Il conduttore del serbatoio provvede annualmente ad una verifica di funzionalità dei dispositivi che assicurano il contenimento ed il rilevamento delle perdite …”.  </w:t>
      </w:r>
      <w:r w:rsidRPr="00AB0200">
        <w:rPr>
          <w:u w:val="single"/>
        </w:rPr>
        <w:t>Il controllo</w:t>
      </w:r>
      <w:r w:rsidRPr="008801FB">
        <w:t xml:space="preserve"> </w:t>
      </w:r>
      <w:r w:rsidRPr="00AB0200">
        <w:rPr>
          <w:u w:val="single"/>
        </w:rPr>
        <w:t>ed eventuale ripristino</w:t>
      </w:r>
      <w:r w:rsidRPr="008801FB">
        <w:t xml:space="preserve"> </w:t>
      </w:r>
      <w:r w:rsidRPr="00AB0200">
        <w:rPr>
          <w:u w:val="single"/>
        </w:rPr>
        <w:t>va annotato sul</w:t>
      </w:r>
      <w:r w:rsidRPr="008801FB">
        <w:t xml:space="preserve"> </w:t>
      </w:r>
      <w:r w:rsidRPr="0030457E">
        <w:rPr>
          <w:u w:val="single"/>
        </w:rPr>
        <w:t>Registro di impianto</w:t>
      </w:r>
      <w:r w:rsidRPr="0003665E">
        <w:t xml:space="preserve">, come previsto dal </w:t>
      </w:r>
      <w:r w:rsidRPr="00FF13E0">
        <w:rPr>
          <w:b/>
          <w:bCs/>
        </w:rPr>
        <w:t>DM Ambiente 16/5/96</w:t>
      </w:r>
      <w:r w:rsidRPr="0003665E">
        <w:t>, art.6, c</w:t>
      </w:r>
      <w:r>
        <w:t>c</w:t>
      </w:r>
      <w:r w:rsidRPr="0003665E">
        <w:t>.</w:t>
      </w:r>
      <w:r>
        <w:t xml:space="preserve">1 e </w:t>
      </w:r>
      <w:r w:rsidRPr="0003665E">
        <w:t>2 (“</w:t>
      </w:r>
      <w:r w:rsidRPr="00B5195E">
        <w:rPr>
          <w:i/>
          <w:iCs/>
        </w:rPr>
        <w:t>Per tutti gli impianti viene istituito il registro di impianto, che dovrà essere custodito dall’esercente</w:t>
      </w:r>
      <w:r w:rsidRPr="00B5195E">
        <w:t>.</w:t>
      </w:r>
      <w:r>
        <w:t xml:space="preserve"> </w:t>
      </w:r>
      <w:r w:rsidRPr="0003665E">
        <w:rPr>
          <w:i/>
          <w:iCs/>
        </w:rPr>
        <w:t>Nel registro di impianto dovranno essere riportati tutti gli interventi di manutenzione ordinaria e straordinaria effettuati sulla stazione di distribuzione”</w:t>
      </w:r>
      <w:r>
        <w:rPr>
          <w:i/>
          <w:iCs/>
        </w:rPr>
        <w:t>)</w:t>
      </w:r>
      <w:r w:rsidRPr="0003665E">
        <w:rPr>
          <w:i/>
          <w:iCs/>
        </w:rPr>
        <w:t>.</w:t>
      </w:r>
    </w:p>
    <w:p w14:paraId="30D35268" w14:textId="77777777" w:rsidR="007748F3" w:rsidRPr="0003665E" w:rsidRDefault="007748F3" w:rsidP="007748F3">
      <w:pPr>
        <w:pStyle w:val="Paragrafoelenco"/>
        <w:numPr>
          <w:ilvl w:val="1"/>
          <w:numId w:val="4"/>
        </w:numPr>
        <w:spacing w:after="0" w:line="240" w:lineRule="auto"/>
        <w:contextualSpacing w:val="0"/>
        <w:jc w:val="both"/>
        <w:rPr>
          <w:rFonts w:eastAsia="Times New Roman"/>
          <w:b/>
          <w:bCs/>
        </w:rPr>
      </w:pPr>
      <w:r>
        <w:rPr>
          <w:rFonts w:eastAsia="Times New Roman"/>
          <w:b/>
          <w:bCs/>
        </w:rPr>
        <w:t>F</w:t>
      </w:r>
      <w:r w:rsidRPr="0003665E">
        <w:rPr>
          <w:rFonts w:eastAsia="Times New Roman"/>
          <w:b/>
          <w:bCs/>
        </w:rPr>
        <w:t>ognatura</w:t>
      </w:r>
      <w:r>
        <w:rPr>
          <w:rFonts w:eastAsia="Times New Roman"/>
          <w:b/>
          <w:bCs/>
        </w:rPr>
        <w:t xml:space="preserve">, </w:t>
      </w:r>
      <w:r w:rsidRPr="0003665E">
        <w:rPr>
          <w:rFonts w:eastAsia="Times New Roman"/>
          <w:b/>
          <w:bCs/>
        </w:rPr>
        <w:t>tubazioni interrate</w:t>
      </w:r>
      <w:r>
        <w:rPr>
          <w:rFonts w:eastAsia="Times New Roman"/>
          <w:b/>
          <w:bCs/>
        </w:rPr>
        <w:t>, pozzetti sottostanti gli erogatori</w:t>
      </w:r>
    </w:p>
    <w:p w14:paraId="360D313B" w14:textId="77777777" w:rsidR="007748F3" w:rsidRDefault="007748F3" w:rsidP="007748F3">
      <w:pPr>
        <w:pStyle w:val="Paragrafoelenco"/>
        <w:numPr>
          <w:ilvl w:val="2"/>
          <w:numId w:val="4"/>
        </w:numPr>
        <w:spacing w:after="0" w:line="240" w:lineRule="auto"/>
        <w:jc w:val="both"/>
        <w:rPr>
          <w:rFonts w:eastAsia="Times New Roman"/>
        </w:rPr>
      </w:pPr>
      <w:r w:rsidRPr="0030457E">
        <w:rPr>
          <w:rFonts w:eastAsia="Times New Roman"/>
        </w:rPr>
        <w:t>anche i pozzetti posti sotto gli erogatori sono possibili fonti di inquinamento per sgocciolamento dei giunti delle tubazioni</w:t>
      </w:r>
      <w:r>
        <w:rPr>
          <w:rFonts w:eastAsia="Times New Roman"/>
        </w:rPr>
        <w:t xml:space="preserve">, quindi per questi pozzetti </w:t>
      </w:r>
      <w:r w:rsidRPr="006C70B6">
        <w:rPr>
          <w:rFonts w:eastAsia="Times New Roman"/>
          <w:u w:val="single"/>
        </w:rPr>
        <w:t xml:space="preserve">valgono le </w:t>
      </w:r>
      <w:r w:rsidRPr="006C70B6">
        <w:rPr>
          <w:rFonts w:eastAsia="Times New Roman"/>
          <w:u w:val="single"/>
        </w:rPr>
        <w:lastRenderedPageBreak/>
        <w:t>medesime considerazioni viste per i pozzetti di carico</w:t>
      </w:r>
      <w:r w:rsidRPr="00506FC4">
        <w:rPr>
          <w:rFonts w:eastAsia="Times New Roman"/>
        </w:rPr>
        <w:t xml:space="preserve"> (caratteristiche costruttive, controllo di tenuta)</w:t>
      </w:r>
      <w:r w:rsidRPr="0030457E">
        <w:rPr>
          <w:rFonts w:eastAsia="Times New Roman"/>
        </w:rPr>
        <w:t xml:space="preserve">; </w:t>
      </w:r>
    </w:p>
    <w:p w14:paraId="332668EB" w14:textId="77777777" w:rsidR="007748F3" w:rsidRPr="0030457E" w:rsidRDefault="007748F3" w:rsidP="007748F3">
      <w:pPr>
        <w:pStyle w:val="Paragrafoelenco"/>
        <w:numPr>
          <w:ilvl w:val="2"/>
          <w:numId w:val="4"/>
        </w:numPr>
        <w:spacing w:after="0" w:line="240" w:lineRule="auto"/>
        <w:jc w:val="both"/>
        <w:rPr>
          <w:rFonts w:eastAsia="Times New Roman"/>
        </w:rPr>
      </w:pPr>
      <w:r w:rsidRPr="0030457E">
        <w:rPr>
          <w:rFonts w:eastAsia="Times New Roman"/>
        </w:rPr>
        <w:t xml:space="preserve">le caratteristiche delle tubazioni interrate in pressione sono riportate nella Lettera </w:t>
      </w:r>
      <w:r w:rsidRPr="00FF13E0">
        <w:rPr>
          <w:rFonts w:eastAsia="Times New Roman"/>
          <w:b/>
          <w:bCs/>
        </w:rPr>
        <w:t>Circolare VVF 01/07/2009 n. 7203</w:t>
      </w:r>
      <w:r w:rsidRPr="0030457E">
        <w:rPr>
          <w:rFonts w:eastAsia="Times New Roman"/>
        </w:rPr>
        <w:t xml:space="preserve">: “ … </w:t>
      </w:r>
      <w:r w:rsidRPr="0030457E">
        <w:rPr>
          <w:rFonts w:eastAsia="Times New Roman"/>
          <w:i/>
          <w:iCs/>
        </w:rPr>
        <w:t xml:space="preserve">Per tubazioni operanti in pressione (caso a) vanno adottati sistemi a “doppia parete con intercapedine” o sistemi equivalenti, con monitoraggio e recupero delle perdite … Esclusivamente le tubazioni di connessione tra i serbatoi e gli apparecchi di erogazione, con funzionamento in depressione e con installata la valvola di ritegno, in posizione quanto più vicino possibile all’apparecchio di erogazione (caso b 2), in luogo della valvola applicata in corrispondenza del serbatoio, possono essere del tipo a parete singola … L’installazione dovrà in ogni caso prevedere </w:t>
      </w:r>
      <w:r w:rsidRPr="00282675">
        <w:rPr>
          <w:rFonts w:eastAsia="Times New Roman"/>
          <w:i/>
          <w:iCs/>
          <w:u w:val="single"/>
        </w:rPr>
        <w:t>pozzetti</w:t>
      </w:r>
      <w:r w:rsidRPr="0030457E">
        <w:rPr>
          <w:rFonts w:eastAsia="Times New Roman"/>
          <w:i/>
          <w:iCs/>
        </w:rPr>
        <w:t xml:space="preserve">, in corrispondenza delle giunzioni tipicamente </w:t>
      </w:r>
      <w:r w:rsidRPr="00282675">
        <w:rPr>
          <w:rFonts w:eastAsia="Times New Roman"/>
          <w:i/>
          <w:iCs/>
          <w:u w:val="single"/>
        </w:rPr>
        <w:t>sopra i serbatoi e sotto gli erogatori</w:t>
      </w:r>
      <w:r w:rsidRPr="0030457E">
        <w:rPr>
          <w:rFonts w:eastAsia="Times New Roman"/>
          <w:i/>
          <w:iCs/>
        </w:rPr>
        <w:t>, impermeabili e ispezionabili per il rilevamento ed il contenimento delle perdite …”</w:t>
      </w:r>
    </w:p>
    <w:p w14:paraId="6393D9F5" w14:textId="77777777" w:rsidR="007748F3" w:rsidRDefault="007748F3" w:rsidP="007748F3">
      <w:pPr>
        <w:pStyle w:val="Paragrafoelenco"/>
        <w:numPr>
          <w:ilvl w:val="2"/>
          <w:numId w:val="4"/>
        </w:numPr>
        <w:spacing w:after="0" w:line="240" w:lineRule="auto"/>
        <w:jc w:val="both"/>
        <w:rPr>
          <w:i/>
          <w:iCs/>
        </w:rPr>
      </w:pPr>
      <w:r w:rsidRPr="008801FB">
        <w:t xml:space="preserve">il </w:t>
      </w:r>
      <w:r w:rsidRPr="00FF13E0">
        <w:rPr>
          <w:b/>
          <w:bCs/>
        </w:rPr>
        <w:t>RLI tipo (1985) di Regione Lombardia</w:t>
      </w:r>
      <w:r w:rsidRPr="008801FB">
        <w:t xml:space="preserve">, punto 2.2.10, prevede: </w:t>
      </w:r>
      <w:r w:rsidRPr="008801FB">
        <w:rPr>
          <w:i/>
          <w:iCs/>
        </w:rPr>
        <w:t>“I condotti fissi o mobili di collegamento tra i recipienti ed i serbatoi ed i punti di utilizzazione delle sostanze … devono essere realizzati in modo da consentire, in caso di guasti o rotture accidentali, il convogliamento in vasche a tenuta … devono possedere i requisiti di inattaccabilità ed impermeabilità ...</w:t>
      </w:r>
    </w:p>
    <w:p w14:paraId="3A1D7CFF" w14:textId="77777777" w:rsidR="007748F3" w:rsidRPr="008801FB" w:rsidRDefault="007748F3" w:rsidP="007748F3">
      <w:pPr>
        <w:pStyle w:val="Paragrafoelenco"/>
        <w:numPr>
          <w:ilvl w:val="2"/>
          <w:numId w:val="4"/>
        </w:numPr>
        <w:spacing w:after="0" w:line="240" w:lineRule="auto"/>
        <w:jc w:val="both"/>
        <w:rPr>
          <w:i/>
          <w:iCs/>
        </w:rPr>
      </w:pPr>
      <w:r>
        <w:rPr>
          <w:rFonts w:eastAsia="Times New Roman"/>
        </w:rPr>
        <w:t>la presenza delle fognature e delle condotte in pressione non può limitarsi a linee tracciate sulla planimetria del P.V., ma deve essere accompagnata da una descrizione tecnica.</w:t>
      </w:r>
    </w:p>
    <w:p w14:paraId="2356E62D" w14:textId="57C91A7F" w:rsidR="007748F3" w:rsidRDefault="007748F3" w:rsidP="007748F3">
      <w:pPr>
        <w:spacing w:after="0" w:line="240" w:lineRule="auto"/>
        <w:jc w:val="both"/>
        <w:rPr>
          <w:rFonts w:eastAsia="Times New Roman"/>
        </w:rPr>
      </w:pPr>
    </w:p>
    <w:p w14:paraId="590A6548" w14:textId="7EDC719D" w:rsidR="007748F3" w:rsidRDefault="007748F3" w:rsidP="007748F3">
      <w:pPr>
        <w:spacing w:after="0" w:line="240" w:lineRule="auto"/>
        <w:jc w:val="both"/>
        <w:rPr>
          <w:rFonts w:eastAsia="Times New Roman"/>
        </w:rPr>
      </w:pPr>
    </w:p>
    <w:p w14:paraId="69FF9AE7" w14:textId="0DE68E53" w:rsidR="007748F3" w:rsidRDefault="007748F3" w:rsidP="007748F3">
      <w:pPr>
        <w:spacing w:after="0" w:line="240" w:lineRule="auto"/>
        <w:jc w:val="both"/>
        <w:rPr>
          <w:rFonts w:eastAsia="Times New Roman"/>
        </w:rPr>
      </w:pPr>
    </w:p>
    <w:p w14:paraId="60EECA09" w14:textId="43C9AAD6" w:rsidR="007748F3" w:rsidRDefault="007748F3" w:rsidP="007748F3">
      <w:pPr>
        <w:spacing w:after="0" w:line="240" w:lineRule="auto"/>
        <w:jc w:val="both"/>
        <w:rPr>
          <w:rFonts w:eastAsia="Times New Roman"/>
        </w:rPr>
      </w:pPr>
    </w:p>
    <w:p w14:paraId="2AABBF57" w14:textId="19D84027" w:rsidR="007748F3" w:rsidRDefault="007748F3" w:rsidP="007748F3">
      <w:pPr>
        <w:spacing w:after="0" w:line="240" w:lineRule="auto"/>
        <w:jc w:val="both"/>
        <w:rPr>
          <w:rFonts w:eastAsia="Times New Roman"/>
        </w:rPr>
      </w:pPr>
    </w:p>
    <w:p w14:paraId="1821DFF4" w14:textId="77777777" w:rsidR="007748F3" w:rsidRPr="007748F3" w:rsidRDefault="007748F3" w:rsidP="007748F3">
      <w:pPr>
        <w:spacing w:after="0" w:line="240" w:lineRule="auto"/>
        <w:jc w:val="both"/>
        <w:rPr>
          <w:rFonts w:eastAsia="Times New Roman"/>
        </w:rPr>
      </w:pPr>
    </w:p>
    <w:p w14:paraId="5D4384CE" w14:textId="10509C40" w:rsidR="00821A96" w:rsidRPr="008C0B6A" w:rsidRDefault="00821A96" w:rsidP="0024393C">
      <w:pPr>
        <w:pStyle w:val="Paragrafoelenco"/>
        <w:numPr>
          <w:ilvl w:val="1"/>
          <w:numId w:val="4"/>
        </w:numPr>
        <w:spacing w:after="0" w:line="240" w:lineRule="auto"/>
        <w:jc w:val="both"/>
        <w:rPr>
          <w:rFonts w:eastAsia="Times New Roman"/>
          <w:b/>
          <w:bCs/>
        </w:rPr>
      </w:pPr>
      <w:r w:rsidRPr="008C0B6A">
        <w:rPr>
          <w:rFonts w:eastAsia="Times New Roman"/>
          <w:b/>
          <w:bCs/>
        </w:rPr>
        <w:t>aree di salvaguardia delle acque superficiali e sotterranee destinate al consumo umano</w:t>
      </w:r>
    </w:p>
    <w:p w14:paraId="3DBD25D1" w14:textId="7D9193B5" w:rsidR="00C16992" w:rsidRPr="00E26931" w:rsidRDefault="008C0B6A" w:rsidP="00183CC9">
      <w:pPr>
        <w:pStyle w:val="Paragrafoelenco"/>
        <w:numPr>
          <w:ilvl w:val="2"/>
          <w:numId w:val="4"/>
        </w:numPr>
        <w:spacing w:after="0" w:line="240" w:lineRule="auto"/>
        <w:jc w:val="both"/>
        <w:rPr>
          <w:rFonts w:eastAsia="Times New Roman"/>
        </w:rPr>
      </w:pPr>
      <w:r w:rsidRPr="008C0B6A">
        <w:rPr>
          <w:rFonts w:eastAsia="Times New Roman"/>
        </w:rPr>
        <w:t>Il vincolo deriva dall’art. 94 del</w:t>
      </w:r>
      <w:r w:rsidRPr="00821A96">
        <w:rPr>
          <w:rFonts w:eastAsia="Times New Roman"/>
          <w:b/>
          <w:bCs/>
        </w:rPr>
        <w:t xml:space="preserve"> D.Lgs. 152/2006</w:t>
      </w:r>
      <w:r w:rsidRPr="00821A96">
        <w:rPr>
          <w:rFonts w:eastAsia="Times New Roman"/>
        </w:rPr>
        <w:t xml:space="preserve"> </w:t>
      </w:r>
      <w:r w:rsidRPr="00996167">
        <w:rPr>
          <w:rFonts w:eastAsia="Times New Roman"/>
          <w:b/>
          <w:bCs/>
        </w:rPr>
        <w:t>e s.m.i.</w:t>
      </w:r>
      <w:r>
        <w:rPr>
          <w:rFonts w:eastAsia="Times New Roman"/>
        </w:rPr>
        <w:t xml:space="preserve">: </w:t>
      </w:r>
      <w:r w:rsidR="00996167" w:rsidRPr="004569BD">
        <w:rPr>
          <w:rFonts w:eastAsia="Times New Roman"/>
        </w:rPr>
        <w:t xml:space="preserve">per i pozzi ad uso potabile le </w:t>
      </w:r>
      <w:r w:rsidR="00126C93" w:rsidRPr="004569BD">
        <w:rPr>
          <w:rFonts w:eastAsia="Times New Roman"/>
        </w:rPr>
        <w:t xml:space="preserve">aree di salvaguardia </w:t>
      </w:r>
      <w:r w:rsidR="00996167" w:rsidRPr="004569BD">
        <w:rPr>
          <w:rFonts w:eastAsia="Times New Roman"/>
        </w:rPr>
        <w:t xml:space="preserve">sono distinte in </w:t>
      </w:r>
      <w:r w:rsidR="00126C93" w:rsidRPr="00C7486F">
        <w:rPr>
          <w:rFonts w:eastAsia="Times New Roman"/>
          <w:u w:val="single"/>
        </w:rPr>
        <w:t>zona di tutela assoluta</w:t>
      </w:r>
      <w:r w:rsidR="00996167" w:rsidRPr="004569BD">
        <w:rPr>
          <w:rFonts w:eastAsia="Times New Roman"/>
        </w:rPr>
        <w:t xml:space="preserve">, prevista dal c.3 </w:t>
      </w:r>
      <w:r w:rsidR="00996167" w:rsidRPr="00C7486F">
        <w:rPr>
          <w:rFonts w:eastAsia="Times New Roman"/>
          <w:i/>
          <w:iCs/>
        </w:rPr>
        <w:t xml:space="preserve">(10 m.) </w:t>
      </w:r>
      <w:r w:rsidR="00996167" w:rsidRPr="00C7486F">
        <w:rPr>
          <w:rFonts w:eastAsia="Times New Roman"/>
          <w:u w:val="single"/>
        </w:rPr>
        <w:t xml:space="preserve">e </w:t>
      </w:r>
      <w:r w:rsidR="00126C93" w:rsidRPr="00C7486F">
        <w:rPr>
          <w:rFonts w:eastAsia="Times New Roman"/>
          <w:u w:val="single"/>
        </w:rPr>
        <w:t>zona di rispetto</w:t>
      </w:r>
      <w:r w:rsidR="00126C93" w:rsidRPr="004569BD">
        <w:rPr>
          <w:rFonts w:eastAsia="Times New Roman"/>
        </w:rPr>
        <w:t xml:space="preserve"> </w:t>
      </w:r>
      <w:r w:rsidR="004569BD" w:rsidRPr="004569BD">
        <w:rPr>
          <w:rFonts w:eastAsia="Times New Roman"/>
        </w:rPr>
        <w:t xml:space="preserve">prevista dal c.4 </w:t>
      </w:r>
      <w:r w:rsidR="00126C93" w:rsidRPr="004569BD">
        <w:rPr>
          <w:rFonts w:eastAsia="Times New Roman"/>
        </w:rPr>
        <w:t>(</w:t>
      </w:r>
      <w:r w:rsidR="004569BD" w:rsidRPr="004569BD">
        <w:rPr>
          <w:rFonts w:eastAsia="Times New Roman"/>
        </w:rPr>
        <w:t xml:space="preserve">che </w:t>
      </w:r>
      <w:r w:rsidR="004569BD" w:rsidRPr="004569BD">
        <w:rPr>
          <w:rFonts w:ascii="Tahoma" w:hAnsi="Tahoma" w:cs="Tahoma"/>
          <w:i/>
          <w:iCs/>
          <w:sz w:val="20"/>
          <w:szCs w:val="20"/>
        </w:rPr>
        <w:t xml:space="preserve">può essere suddivisa in zona di rispetto </w:t>
      </w:r>
      <w:r w:rsidR="004569BD" w:rsidRPr="00C7486F">
        <w:rPr>
          <w:rFonts w:ascii="Tahoma" w:hAnsi="Tahoma" w:cs="Tahoma"/>
          <w:i/>
          <w:iCs/>
          <w:sz w:val="20"/>
          <w:szCs w:val="20"/>
          <w:u w:val="single"/>
        </w:rPr>
        <w:t>ristretta</w:t>
      </w:r>
      <w:r w:rsidR="004569BD" w:rsidRPr="004569BD">
        <w:rPr>
          <w:rFonts w:ascii="Tahoma" w:hAnsi="Tahoma" w:cs="Tahoma"/>
          <w:i/>
          <w:iCs/>
          <w:sz w:val="20"/>
          <w:szCs w:val="20"/>
        </w:rPr>
        <w:t xml:space="preserve"> </w:t>
      </w:r>
      <w:r w:rsidR="004569BD" w:rsidRPr="00C7486F">
        <w:rPr>
          <w:rFonts w:ascii="Tahoma" w:hAnsi="Tahoma" w:cs="Tahoma"/>
          <w:i/>
          <w:iCs/>
          <w:sz w:val="20"/>
          <w:szCs w:val="20"/>
          <w:u w:val="single"/>
        </w:rPr>
        <w:t>e</w:t>
      </w:r>
      <w:r w:rsidR="004569BD" w:rsidRPr="004569BD">
        <w:rPr>
          <w:rFonts w:ascii="Tahoma" w:hAnsi="Tahoma" w:cs="Tahoma"/>
          <w:i/>
          <w:iCs/>
          <w:sz w:val="20"/>
          <w:szCs w:val="20"/>
        </w:rPr>
        <w:t xml:space="preserve"> zona di rispetto </w:t>
      </w:r>
      <w:r w:rsidR="004569BD" w:rsidRPr="00C7486F">
        <w:rPr>
          <w:rFonts w:ascii="Tahoma" w:hAnsi="Tahoma" w:cs="Tahoma"/>
          <w:i/>
          <w:iCs/>
          <w:sz w:val="20"/>
          <w:szCs w:val="20"/>
          <w:u w:val="single"/>
        </w:rPr>
        <w:t>allargata</w:t>
      </w:r>
      <w:r w:rsidR="004569BD" w:rsidRPr="004569BD">
        <w:rPr>
          <w:rFonts w:ascii="Tahoma" w:hAnsi="Tahoma" w:cs="Tahoma"/>
          <w:i/>
          <w:iCs/>
          <w:sz w:val="20"/>
          <w:szCs w:val="20"/>
        </w:rPr>
        <w:t>, in relazione alla tipologia dell'opera di presa o captazione e alla situazione locale di vulnerabilità e rischio della risorsa</w:t>
      </w:r>
      <w:r w:rsidR="00126C93" w:rsidRPr="004569BD">
        <w:rPr>
          <w:rFonts w:eastAsia="Times New Roman"/>
        </w:rPr>
        <w:t>)</w:t>
      </w:r>
      <w:r w:rsidR="00996167" w:rsidRPr="004569BD">
        <w:rPr>
          <w:rFonts w:eastAsia="Times New Roman"/>
        </w:rPr>
        <w:t>: il c.4, lettera i) prevede che all’interno di questa fascia sia assente “</w:t>
      </w:r>
      <w:r w:rsidR="00996167" w:rsidRPr="004569BD">
        <w:rPr>
          <w:rFonts w:eastAsia="Times New Roman"/>
          <w:i/>
          <w:iCs/>
        </w:rPr>
        <w:t xml:space="preserve">lo </w:t>
      </w:r>
      <w:r w:rsidR="00996167" w:rsidRPr="004569BD">
        <w:rPr>
          <w:rFonts w:ascii="Tahoma" w:hAnsi="Tahoma" w:cs="Tahoma"/>
          <w:i/>
          <w:iCs/>
          <w:sz w:val="20"/>
          <w:szCs w:val="20"/>
        </w:rPr>
        <w:t xml:space="preserve">stoccaggio di prodotti o sostanze chimiche pericolose </w:t>
      </w:r>
      <w:r w:rsidR="004569BD" w:rsidRPr="004569BD">
        <w:rPr>
          <w:rFonts w:ascii="Tahoma" w:hAnsi="Tahoma" w:cs="Tahoma"/>
          <w:i/>
          <w:iCs/>
          <w:sz w:val="20"/>
          <w:szCs w:val="20"/>
        </w:rPr>
        <w:t>…</w:t>
      </w:r>
      <w:r w:rsidR="00996167" w:rsidRPr="004569BD">
        <w:rPr>
          <w:rFonts w:ascii="Tahoma" w:hAnsi="Tahoma" w:cs="Tahoma"/>
          <w:i/>
          <w:iCs/>
          <w:sz w:val="20"/>
          <w:szCs w:val="20"/>
        </w:rPr>
        <w:t>”</w:t>
      </w:r>
      <w:r w:rsidR="004569BD" w:rsidRPr="004569BD">
        <w:rPr>
          <w:rFonts w:ascii="Tahoma" w:hAnsi="Tahoma" w:cs="Tahoma"/>
          <w:i/>
          <w:iCs/>
          <w:sz w:val="20"/>
          <w:szCs w:val="20"/>
        </w:rPr>
        <w:t xml:space="preserve">; </w:t>
      </w:r>
      <w:r w:rsidR="004569BD" w:rsidRPr="004569BD">
        <w:rPr>
          <w:rFonts w:ascii="Tahoma" w:hAnsi="Tahoma" w:cs="Tahoma"/>
          <w:sz w:val="20"/>
          <w:szCs w:val="20"/>
        </w:rPr>
        <w:t>il c</w:t>
      </w:r>
      <w:r w:rsidR="00C16992" w:rsidRPr="004569BD">
        <w:rPr>
          <w:rFonts w:ascii="Tahoma" w:hAnsi="Tahoma" w:cs="Tahoma"/>
          <w:sz w:val="20"/>
          <w:szCs w:val="20"/>
        </w:rPr>
        <w:t>.6</w:t>
      </w:r>
      <w:r w:rsidR="004569BD">
        <w:rPr>
          <w:rFonts w:ascii="Tahoma" w:hAnsi="Tahoma" w:cs="Tahoma"/>
          <w:sz w:val="20"/>
          <w:szCs w:val="20"/>
        </w:rPr>
        <w:t xml:space="preserve"> prevede che</w:t>
      </w:r>
      <w:r w:rsidR="00C16992" w:rsidRPr="004569BD">
        <w:rPr>
          <w:rFonts w:ascii="Tahoma" w:hAnsi="Tahoma" w:cs="Tahoma"/>
          <w:sz w:val="20"/>
          <w:szCs w:val="20"/>
        </w:rPr>
        <w:t xml:space="preserve"> </w:t>
      </w:r>
      <w:r w:rsidR="004569BD">
        <w:rPr>
          <w:rFonts w:ascii="Tahoma" w:hAnsi="Tahoma" w:cs="Tahoma"/>
          <w:sz w:val="20"/>
          <w:szCs w:val="20"/>
        </w:rPr>
        <w:t>“</w:t>
      </w:r>
      <w:r w:rsidR="00C16992" w:rsidRPr="004569BD">
        <w:rPr>
          <w:rFonts w:ascii="Tahoma" w:hAnsi="Tahoma" w:cs="Tahoma"/>
          <w:i/>
          <w:iCs/>
          <w:sz w:val="20"/>
          <w:szCs w:val="20"/>
        </w:rPr>
        <w:t xml:space="preserve">in assenza dell'individuazione da parte delle </w:t>
      </w:r>
      <w:r w:rsidR="00004735">
        <w:rPr>
          <w:rFonts w:ascii="Tahoma" w:hAnsi="Tahoma" w:cs="Tahoma"/>
          <w:i/>
          <w:iCs/>
          <w:sz w:val="20"/>
          <w:szCs w:val="20"/>
        </w:rPr>
        <w:t>R</w:t>
      </w:r>
      <w:r w:rsidR="00C16992" w:rsidRPr="004569BD">
        <w:rPr>
          <w:rFonts w:ascii="Tahoma" w:hAnsi="Tahoma" w:cs="Tahoma"/>
          <w:i/>
          <w:iCs/>
          <w:sz w:val="20"/>
          <w:szCs w:val="20"/>
        </w:rPr>
        <w:t xml:space="preserve">egioni o delle </w:t>
      </w:r>
      <w:r w:rsidR="00004735">
        <w:rPr>
          <w:rFonts w:ascii="Tahoma" w:hAnsi="Tahoma" w:cs="Tahoma"/>
          <w:i/>
          <w:iCs/>
          <w:sz w:val="20"/>
          <w:szCs w:val="20"/>
        </w:rPr>
        <w:t>P</w:t>
      </w:r>
      <w:r w:rsidR="00C16992" w:rsidRPr="004569BD">
        <w:rPr>
          <w:rFonts w:ascii="Tahoma" w:hAnsi="Tahoma" w:cs="Tahoma"/>
          <w:i/>
          <w:iCs/>
          <w:sz w:val="20"/>
          <w:szCs w:val="20"/>
        </w:rPr>
        <w:t xml:space="preserve">rovince </w:t>
      </w:r>
      <w:r w:rsidR="00004735">
        <w:rPr>
          <w:rFonts w:ascii="Tahoma" w:hAnsi="Tahoma" w:cs="Tahoma"/>
          <w:i/>
          <w:iCs/>
          <w:sz w:val="20"/>
          <w:szCs w:val="20"/>
        </w:rPr>
        <w:t>A</w:t>
      </w:r>
      <w:r w:rsidR="00C16992" w:rsidRPr="004569BD">
        <w:rPr>
          <w:rFonts w:ascii="Tahoma" w:hAnsi="Tahoma" w:cs="Tahoma"/>
          <w:i/>
          <w:iCs/>
          <w:sz w:val="20"/>
          <w:szCs w:val="20"/>
        </w:rPr>
        <w:t>utonome della zona di rispetto ai sensi del comma 1, la medesima ha un'estensione di 200 metri di raggio rispetto al punto di captazione o di derivazione</w:t>
      </w:r>
      <w:r w:rsidR="004569BD">
        <w:rPr>
          <w:rFonts w:ascii="Tahoma" w:hAnsi="Tahoma" w:cs="Tahoma"/>
          <w:i/>
          <w:iCs/>
          <w:sz w:val="20"/>
          <w:szCs w:val="20"/>
        </w:rPr>
        <w:t>”</w:t>
      </w:r>
    </w:p>
    <w:p w14:paraId="1439BBF6" w14:textId="68A1E6FE" w:rsidR="00E26931" w:rsidRPr="00E26931" w:rsidRDefault="00E26931" w:rsidP="00684C97">
      <w:pPr>
        <w:pStyle w:val="Paragrafoelenco"/>
        <w:numPr>
          <w:ilvl w:val="2"/>
          <w:numId w:val="4"/>
        </w:numPr>
        <w:spacing w:after="0" w:line="240" w:lineRule="auto"/>
        <w:jc w:val="both"/>
        <w:rPr>
          <w:rFonts w:eastAsia="Times New Roman"/>
          <w:i/>
          <w:iCs/>
        </w:rPr>
      </w:pPr>
      <w:r w:rsidRPr="002E6C91">
        <w:rPr>
          <w:rFonts w:ascii="Tahoma" w:hAnsi="Tahoma" w:cs="Tahoma"/>
          <w:b/>
          <w:bCs/>
          <w:sz w:val="20"/>
          <w:szCs w:val="20"/>
        </w:rPr>
        <w:t>La DGR 15137/96</w:t>
      </w:r>
      <w:r w:rsidRPr="00E26931">
        <w:rPr>
          <w:rFonts w:ascii="Tahoma" w:hAnsi="Tahoma" w:cs="Tahoma"/>
          <w:sz w:val="20"/>
          <w:szCs w:val="20"/>
        </w:rPr>
        <w:t xml:space="preserve"> </w:t>
      </w:r>
      <w:r w:rsidRPr="00FA026F">
        <w:rPr>
          <w:rFonts w:ascii="Tahoma" w:hAnsi="Tahoma" w:cs="Tahoma"/>
          <w:sz w:val="20"/>
          <w:szCs w:val="20"/>
        </w:rPr>
        <w:t>(tutt’ora vigente in Regione Lombardia</w:t>
      </w:r>
      <w:r w:rsidR="0057278F" w:rsidRPr="00FA026F">
        <w:rPr>
          <w:rFonts w:ascii="Tahoma" w:hAnsi="Tahoma" w:cs="Tahoma"/>
          <w:sz w:val="20"/>
          <w:szCs w:val="20"/>
        </w:rPr>
        <w:t xml:space="preserve"> ancorchè antecedente il D.lgs 152/2006</w:t>
      </w:r>
      <w:r w:rsidRPr="00FA026F">
        <w:rPr>
          <w:rFonts w:ascii="Tahoma" w:hAnsi="Tahoma" w:cs="Tahoma"/>
          <w:sz w:val="20"/>
          <w:szCs w:val="20"/>
        </w:rPr>
        <w:t>)</w:t>
      </w:r>
      <w:r w:rsidRPr="00D834DE">
        <w:rPr>
          <w:rFonts w:ascii="Tahoma" w:hAnsi="Tahoma" w:cs="Tahoma"/>
          <w:color w:val="FF0000"/>
          <w:sz w:val="20"/>
          <w:szCs w:val="20"/>
        </w:rPr>
        <w:t xml:space="preserve"> </w:t>
      </w:r>
      <w:r w:rsidRPr="00E26931">
        <w:rPr>
          <w:rFonts w:ascii="Tahoma" w:hAnsi="Tahoma" w:cs="Tahoma"/>
          <w:sz w:val="20"/>
          <w:szCs w:val="20"/>
        </w:rPr>
        <w:t xml:space="preserve">prevede la </w:t>
      </w:r>
      <w:r w:rsidRPr="00004735">
        <w:rPr>
          <w:rFonts w:ascii="Tahoma" w:hAnsi="Tahoma" w:cs="Tahoma"/>
          <w:sz w:val="20"/>
          <w:szCs w:val="20"/>
          <w:u w:val="single"/>
        </w:rPr>
        <w:t>zona di tutela assoluta</w:t>
      </w:r>
      <w:r w:rsidRPr="00E26931">
        <w:rPr>
          <w:rFonts w:ascii="Tahoma" w:hAnsi="Tahoma" w:cs="Tahoma"/>
          <w:sz w:val="20"/>
          <w:szCs w:val="20"/>
        </w:rPr>
        <w:t xml:space="preserve"> </w:t>
      </w:r>
      <w:r w:rsidR="00C7486F" w:rsidRPr="00C7486F">
        <w:rPr>
          <w:rFonts w:eastAsia="Times New Roman"/>
          <w:i/>
          <w:iCs/>
        </w:rPr>
        <w:t>(“… di raggio non inferiore a 10 m.”)</w:t>
      </w:r>
      <w:r w:rsidRPr="00E26931">
        <w:rPr>
          <w:rFonts w:ascii="Tahoma" w:hAnsi="Tahoma" w:cs="Tahoma"/>
          <w:sz w:val="20"/>
          <w:szCs w:val="20"/>
        </w:rPr>
        <w:t xml:space="preserve">, la </w:t>
      </w:r>
      <w:r w:rsidRPr="00004735">
        <w:rPr>
          <w:rFonts w:ascii="Tahoma" w:hAnsi="Tahoma" w:cs="Tahoma"/>
          <w:sz w:val="20"/>
          <w:szCs w:val="20"/>
          <w:u w:val="single"/>
        </w:rPr>
        <w:t>zona di rispetto</w:t>
      </w:r>
      <w:r w:rsidRPr="00E26931">
        <w:rPr>
          <w:rFonts w:ascii="Tahoma" w:hAnsi="Tahoma" w:cs="Tahoma"/>
          <w:sz w:val="20"/>
          <w:szCs w:val="20"/>
        </w:rPr>
        <w:t xml:space="preserve"> “</w:t>
      </w:r>
      <w:r w:rsidRPr="00E26931">
        <w:rPr>
          <w:rFonts w:ascii="Tahoma" w:hAnsi="Tahoma" w:cs="Tahoma"/>
          <w:i/>
          <w:iCs/>
          <w:sz w:val="20"/>
          <w:szCs w:val="20"/>
        </w:rPr>
        <w:t>delimitata in rapporto alla situazione locale di vulnerabilità e rischio della risorsa. Vi si applicano i vincoli previsti dall’art.6 del DPR 236/88</w:t>
      </w:r>
      <w:r w:rsidRPr="00E26931">
        <w:rPr>
          <w:rFonts w:ascii="Tahoma" w:hAnsi="Tahoma" w:cs="Tahoma"/>
          <w:sz w:val="20"/>
          <w:szCs w:val="20"/>
        </w:rPr>
        <w:t xml:space="preserve">”, la </w:t>
      </w:r>
      <w:r w:rsidRPr="00004735">
        <w:rPr>
          <w:rFonts w:ascii="Tahoma" w:hAnsi="Tahoma" w:cs="Tahoma"/>
          <w:sz w:val="20"/>
          <w:szCs w:val="20"/>
          <w:u w:val="single"/>
        </w:rPr>
        <w:t>zona di protezione</w:t>
      </w:r>
      <w:r w:rsidR="00FA026F" w:rsidRPr="00FA026F">
        <w:rPr>
          <w:rFonts w:ascii="Tahoma" w:hAnsi="Tahoma" w:cs="Tahoma"/>
          <w:sz w:val="20"/>
          <w:szCs w:val="20"/>
        </w:rPr>
        <w:t xml:space="preserve"> </w:t>
      </w:r>
      <w:r w:rsidR="00004735" w:rsidRPr="00004735">
        <w:rPr>
          <w:rFonts w:ascii="Tahoma" w:hAnsi="Tahoma" w:cs="Tahoma"/>
          <w:i/>
          <w:iCs/>
          <w:sz w:val="20"/>
          <w:szCs w:val="20"/>
        </w:rPr>
        <w:t>“</w:t>
      </w:r>
      <w:r w:rsidRPr="00E26931">
        <w:rPr>
          <w:rFonts w:ascii="Tahoma" w:hAnsi="Tahoma" w:cs="Tahoma"/>
          <w:sz w:val="20"/>
          <w:szCs w:val="20"/>
        </w:rPr>
        <w:t xml:space="preserve">… </w:t>
      </w:r>
      <w:r w:rsidRPr="00E26931">
        <w:rPr>
          <w:rFonts w:ascii="Tahoma" w:hAnsi="Tahoma" w:cs="Tahoma"/>
          <w:i/>
          <w:iCs/>
          <w:sz w:val="20"/>
          <w:szCs w:val="20"/>
        </w:rPr>
        <w:t>orientativamente corrispondente alle aree di ricarica delle falde ed ai bacini di alimentazione delle sorgenti</w:t>
      </w:r>
      <w:r>
        <w:rPr>
          <w:rFonts w:ascii="Tahoma" w:hAnsi="Tahoma" w:cs="Tahoma"/>
          <w:i/>
          <w:iCs/>
          <w:sz w:val="20"/>
          <w:szCs w:val="20"/>
        </w:rPr>
        <w:t xml:space="preserve"> </w:t>
      </w:r>
      <w:r w:rsidRPr="00E26931">
        <w:rPr>
          <w:rFonts w:ascii="Tahoma" w:hAnsi="Tahoma" w:cs="Tahoma"/>
          <w:i/>
          <w:iCs/>
          <w:sz w:val="20"/>
          <w:szCs w:val="20"/>
        </w:rPr>
        <w:t>da captare</w:t>
      </w:r>
      <w:r>
        <w:rPr>
          <w:rFonts w:ascii="Tahoma" w:hAnsi="Tahoma" w:cs="Tahoma"/>
          <w:i/>
          <w:iCs/>
          <w:sz w:val="20"/>
          <w:szCs w:val="20"/>
        </w:rPr>
        <w:t xml:space="preserve"> …”</w:t>
      </w:r>
      <w:r w:rsidR="00EB6E84">
        <w:rPr>
          <w:rFonts w:ascii="Tahoma" w:hAnsi="Tahoma" w:cs="Tahoma"/>
          <w:i/>
          <w:iCs/>
          <w:sz w:val="20"/>
          <w:szCs w:val="20"/>
        </w:rPr>
        <w:t>;</w:t>
      </w:r>
    </w:p>
    <w:p w14:paraId="31ED10C3" w14:textId="1E089533" w:rsidR="00FF7FE7" w:rsidRPr="00FF7FE7" w:rsidRDefault="00C16992" w:rsidP="00304E91">
      <w:pPr>
        <w:pStyle w:val="Paragrafoelenco"/>
        <w:numPr>
          <w:ilvl w:val="2"/>
          <w:numId w:val="4"/>
        </w:numPr>
        <w:spacing w:after="0" w:line="240" w:lineRule="auto"/>
        <w:jc w:val="both"/>
        <w:rPr>
          <w:rFonts w:eastAsia="Times New Roman"/>
        </w:rPr>
      </w:pPr>
      <w:r w:rsidRPr="00C16992">
        <w:rPr>
          <w:rFonts w:ascii="Tahoma" w:hAnsi="Tahoma" w:cs="Tahoma"/>
          <w:sz w:val="20"/>
          <w:szCs w:val="20"/>
        </w:rPr>
        <w:t xml:space="preserve">come noto, l’ubicazione e la fascia di rispetto dei pozzi ad uso potabile è contenuta all’interno del Piano dei Servizi allegato al PGT, quindi è un dato che i Comuni hanno già a propria disposizione: </w:t>
      </w:r>
      <w:r w:rsidR="00996167" w:rsidRPr="00FF7FE7">
        <w:rPr>
          <w:rFonts w:ascii="Tahoma" w:hAnsi="Tahoma" w:cs="Tahoma"/>
          <w:sz w:val="20"/>
          <w:szCs w:val="20"/>
          <w:u w:val="single"/>
        </w:rPr>
        <w:t xml:space="preserve">la presenza di un P.V. carburanti all’interno della fascia di rispetto </w:t>
      </w:r>
      <w:r w:rsidRPr="00FF7FE7">
        <w:rPr>
          <w:rFonts w:ascii="Tahoma" w:hAnsi="Tahoma" w:cs="Tahoma"/>
          <w:sz w:val="20"/>
          <w:szCs w:val="20"/>
          <w:u w:val="single"/>
        </w:rPr>
        <w:t>è quindi da valutare, da parte del Comune, in via preliminare a tutte le altre considerazioni di carattere ambientale</w:t>
      </w:r>
      <w:r w:rsidR="00FF7FE7">
        <w:rPr>
          <w:rFonts w:ascii="Tahoma" w:hAnsi="Tahoma" w:cs="Tahoma"/>
          <w:sz w:val="20"/>
          <w:szCs w:val="20"/>
        </w:rPr>
        <w:t>, in quanto un P.V. carburanti, oltre a</w:t>
      </w:r>
      <w:r w:rsidR="00EB6E84">
        <w:rPr>
          <w:rFonts w:ascii="Tahoma" w:hAnsi="Tahoma" w:cs="Tahoma"/>
          <w:sz w:val="20"/>
          <w:szCs w:val="20"/>
        </w:rPr>
        <w:t xml:space="preserve"> r</w:t>
      </w:r>
      <w:r w:rsidR="00FF7FE7">
        <w:rPr>
          <w:rFonts w:ascii="Tahoma" w:hAnsi="Tahoma" w:cs="Tahoma"/>
          <w:sz w:val="20"/>
          <w:szCs w:val="20"/>
        </w:rPr>
        <w:t>ientra</w:t>
      </w:r>
      <w:r w:rsidR="00EB6E84">
        <w:rPr>
          <w:rFonts w:ascii="Tahoma" w:hAnsi="Tahoma" w:cs="Tahoma"/>
          <w:sz w:val="20"/>
          <w:szCs w:val="20"/>
        </w:rPr>
        <w:t>re</w:t>
      </w:r>
      <w:r w:rsidR="00FF7FE7">
        <w:rPr>
          <w:rFonts w:ascii="Tahoma" w:hAnsi="Tahoma" w:cs="Tahoma"/>
          <w:sz w:val="20"/>
          <w:szCs w:val="20"/>
        </w:rPr>
        <w:t xml:space="preserve"> formalmente nel vincolo di cui </w:t>
      </w:r>
      <w:r w:rsidR="00FF7FE7" w:rsidRPr="00FF7FE7">
        <w:rPr>
          <w:rFonts w:ascii="Tahoma" w:hAnsi="Tahoma" w:cs="Tahoma"/>
          <w:sz w:val="20"/>
          <w:szCs w:val="20"/>
        </w:rPr>
        <w:t>all’art. 94</w:t>
      </w:r>
      <w:r w:rsidR="00FF7FE7">
        <w:rPr>
          <w:rFonts w:ascii="Tahoma" w:hAnsi="Tahoma" w:cs="Tahoma"/>
          <w:sz w:val="20"/>
          <w:szCs w:val="20"/>
        </w:rPr>
        <w:t>, c.4, lettera i)</w:t>
      </w:r>
      <w:r w:rsidR="00FF7FE7" w:rsidRPr="00FF7FE7">
        <w:rPr>
          <w:rFonts w:ascii="Tahoma" w:hAnsi="Tahoma" w:cs="Tahoma"/>
          <w:sz w:val="20"/>
          <w:szCs w:val="20"/>
        </w:rPr>
        <w:t xml:space="preserve"> del D.Lgs. 152/2006 e s.m.i</w:t>
      </w:r>
      <w:r w:rsidR="00FF7FE7">
        <w:rPr>
          <w:rFonts w:ascii="Tahoma" w:hAnsi="Tahoma" w:cs="Tahoma"/>
          <w:sz w:val="20"/>
          <w:szCs w:val="20"/>
        </w:rPr>
        <w:t xml:space="preserve">., costituisce un oggettivo centro di pericolo per le captazioni ad uso potabile; </w:t>
      </w:r>
    </w:p>
    <w:p w14:paraId="36D2437C" w14:textId="686909FD" w:rsidR="00AA5E6B" w:rsidRPr="00AA5E6B" w:rsidRDefault="0067518B" w:rsidP="00304E91">
      <w:pPr>
        <w:pStyle w:val="Paragrafoelenco"/>
        <w:numPr>
          <w:ilvl w:val="2"/>
          <w:numId w:val="4"/>
        </w:numPr>
        <w:spacing w:after="0" w:line="240" w:lineRule="auto"/>
        <w:jc w:val="both"/>
        <w:rPr>
          <w:rFonts w:eastAsia="Times New Roman"/>
        </w:rPr>
      </w:pPr>
      <w:r>
        <w:rPr>
          <w:rFonts w:ascii="Tahoma" w:hAnsi="Tahoma" w:cs="Tahoma"/>
          <w:sz w:val="20"/>
          <w:szCs w:val="20"/>
        </w:rPr>
        <w:t>il c.5 dello stesso art.94 riporta inoltre “</w:t>
      </w:r>
      <w:r>
        <w:rPr>
          <w:rFonts w:ascii="Tahoma" w:hAnsi="Tahoma" w:cs="Tahoma"/>
          <w:i/>
          <w:iCs/>
          <w:sz w:val="20"/>
          <w:szCs w:val="20"/>
        </w:rPr>
        <w:t xml:space="preserve">per gli insediamenti o le attività di cui al c.4, preesistenti, ove possibile … sono adottate le misure per il loro allontanamento; in ogni caso deve essere garantita la loro messa in sicurezza”; pertanto, </w:t>
      </w:r>
      <w:r w:rsidR="00EB6E84">
        <w:rPr>
          <w:rFonts w:ascii="Tahoma" w:hAnsi="Tahoma" w:cs="Tahoma"/>
          <w:sz w:val="20"/>
          <w:szCs w:val="20"/>
        </w:rPr>
        <w:t>n</w:t>
      </w:r>
      <w:r w:rsidR="00FF7FE7">
        <w:rPr>
          <w:rFonts w:ascii="Tahoma" w:hAnsi="Tahoma" w:cs="Tahoma"/>
          <w:sz w:val="20"/>
          <w:szCs w:val="20"/>
        </w:rPr>
        <w:t xml:space="preserve">el caso in cui </w:t>
      </w:r>
      <w:r w:rsidR="00FF7FE7">
        <w:rPr>
          <w:rFonts w:ascii="Tahoma" w:hAnsi="Tahoma" w:cs="Tahoma"/>
          <w:sz w:val="20"/>
          <w:szCs w:val="20"/>
        </w:rPr>
        <w:lastRenderedPageBreak/>
        <w:t xml:space="preserve">il Comune </w:t>
      </w:r>
      <w:r w:rsidR="00004735">
        <w:rPr>
          <w:rFonts w:ascii="Tahoma" w:hAnsi="Tahoma" w:cs="Tahoma"/>
          <w:sz w:val="20"/>
          <w:szCs w:val="20"/>
        </w:rPr>
        <w:t xml:space="preserve">fosse orientato ad </w:t>
      </w:r>
      <w:r w:rsidR="00FF7FE7">
        <w:rPr>
          <w:rFonts w:ascii="Tahoma" w:hAnsi="Tahoma" w:cs="Tahoma"/>
          <w:sz w:val="20"/>
          <w:szCs w:val="20"/>
        </w:rPr>
        <w:t>accettare la permanenza in loco di un P.V. esistente, dovrebbe come minimo:</w:t>
      </w:r>
    </w:p>
    <w:p w14:paraId="6289F200" w14:textId="0F0FEBA5" w:rsidR="00AA5E6B" w:rsidRPr="00AA5E6B" w:rsidRDefault="00C16992" w:rsidP="00427A86">
      <w:pPr>
        <w:pStyle w:val="Paragrafoelenco"/>
        <w:numPr>
          <w:ilvl w:val="3"/>
          <w:numId w:val="9"/>
        </w:numPr>
        <w:spacing w:after="0" w:line="240" w:lineRule="auto"/>
        <w:jc w:val="both"/>
        <w:rPr>
          <w:rFonts w:eastAsia="Times New Roman"/>
        </w:rPr>
      </w:pPr>
      <w:r w:rsidRPr="00C16992">
        <w:rPr>
          <w:rFonts w:ascii="Tahoma" w:hAnsi="Tahoma" w:cs="Tahoma"/>
          <w:sz w:val="20"/>
          <w:szCs w:val="20"/>
        </w:rPr>
        <w:t xml:space="preserve">definire </w:t>
      </w:r>
      <w:r w:rsidR="00427A86">
        <w:rPr>
          <w:rFonts w:ascii="Tahoma" w:hAnsi="Tahoma" w:cs="Tahoma"/>
          <w:sz w:val="20"/>
          <w:szCs w:val="20"/>
        </w:rPr>
        <w:t xml:space="preserve">preliminarmente </w:t>
      </w:r>
      <w:r w:rsidRPr="00C16992">
        <w:rPr>
          <w:rFonts w:ascii="Tahoma" w:hAnsi="Tahoma" w:cs="Tahoma"/>
          <w:sz w:val="20"/>
          <w:szCs w:val="20"/>
        </w:rPr>
        <w:t xml:space="preserve">se </w:t>
      </w:r>
      <w:r w:rsidR="00427A86">
        <w:rPr>
          <w:rFonts w:ascii="Tahoma" w:hAnsi="Tahoma" w:cs="Tahoma"/>
          <w:sz w:val="20"/>
          <w:szCs w:val="20"/>
        </w:rPr>
        <w:t xml:space="preserve">intenda </w:t>
      </w:r>
      <w:r w:rsidRPr="00C16992">
        <w:rPr>
          <w:rFonts w:ascii="Tahoma" w:hAnsi="Tahoma" w:cs="Tahoma"/>
          <w:sz w:val="20"/>
          <w:szCs w:val="20"/>
        </w:rPr>
        <w:t>ri-perimetrare, con criterio idrogeologico</w:t>
      </w:r>
      <w:r w:rsidR="00004735">
        <w:rPr>
          <w:rFonts w:ascii="Tahoma" w:hAnsi="Tahoma" w:cs="Tahoma"/>
          <w:sz w:val="20"/>
          <w:szCs w:val="20"/>
        </w:rPr>
        <w:t xml:space="preserve"> (v. </w:t>
      </w:r>
      <w:r w:rsidR="00004735" w:rsidRPr="00504B61">
        <w:rPr>
          <w:rFonts w:ascii="Tahoma" w:hAnsi="Tahoma" w:cs="Tahoma"/>
          <w:sz w:val="20"/>
          <w:szCs w:val="20"/>
        </w:rPr>
        <w:t xml:space="preserve">DGR </w:t>
      </w:r>
      <w:r w:rsidR="00504B61" w:rsidRPr="00504B61">
        <w:rPr>
          <w:rFonts w:ascii="Tahoma" w:hAnsi="Tahoma" w:cs="Tahoma"/>
          <w:sz w:val="20"/>
          <w:szCs w:val="20"/>
        </w:rPr>
        <w:t>15137/96</w:t>
      </w:r>
      <w:r w:rsidR="00004735">
        <w:rPr>
          <w:rFonts w:ascii="Tahoma" w:hAnsi="Tahoma" w:cs="Tahoma"/>
          <w:sz w:val="20"/>
          <w:szCs w:val="20"/>
        </w:rPr>
        <w:t>)</w:t>
      </w:r>
      <w:r w:rsidRPr="00C16992">
        <w:rPr>
          <w:rFonts w:ascii="Tahoma" w:hAnsi="Tahoma" w:cs="Tahoma"/>
          <w:sz w:val="20"/>
          <w:szCs w:val="20"/>
        </w:rPr>
        <w:t xml:space="preserve">, </w:t>
      </w:r>
      <w:r>
        <w:rPr>
          <w:rFonts w:ascii="Tahoma" w:hAnsi="Tahoma" w:cs="Tahoma"/>
          <w:sz w:val="20"/>
          <w:szCs w:val="20"/>
        </w:rPr>
        <w:t xml:space="preserve">la </w:t>
      </w:r>
      <w:r w:rsidR="00FF7FE7">
        <w:rPr>
          <w:rFonts w:ascii="Tahoma" w:hAnsi="Tahoma" w:cs="Tahoma"/>
          <w:sz w:val="20"/>
          <w:szCs w:val="20"/>
        </w:rPr>
        <w:t>zona</w:t>
      </w:r>
      <w:r>
        <w:rPr>
          <w:rFonts w:ascii="Tahoma" w:hAnsi="Tahoma" w:cs="Tahoma"/>
          <w:sz w:val="20"/>
          <w:szCs w:val="20"/>
        </w:rPr>
        <w:t xml:space="preserve"> di rispetto</w:t>
      </w:r>
      <w:r w:rsidR="00E837D2">
        <w:rPr>
          <w:rFonts w:ascii="Tahoma" w:hAnsi="Tahoma" w:cs="Tahoma"/>
          <w:sz w:val="20"/>
          <w:szCs w:val="20"/>
        </w:rPr>
        <w:t>;</w:t>
      </w:r>
    </w:p>
    <w:p w14:paraId="7A86920A" w14:textId="77B54279" w:rsidR="00427A86" w:rsidRPr="00427A86" w:rsidRDefault="00FF7FE7" w:rsidP="00427A86">
      <w:pPr>
        <w:pStyle w:val="Paragrafoelenco"/>
        <w:numPr>
          <w:ilvl w:val="3"/>
          <w:numId w:val="9"/>
        </w:numPr>
        <w:spacing w:after="0" w:line="240" w:lineRule="auto"/>
        <w:jc w:val="both"/>
        <w:rPr>
          <w:rFonts w:eastAsia="Times New Roman"/>
        </w:rPr>
      </w:pPr>
      <w:r>
        <w:rPr>
          <w:rFonts w:ascii="Tahoma" w:hAnsi="Tahoma" w:cs="Tahoma"/>
          <w:sz w:val="20"/>
          <w:szCs w:val="20"/>
        </w:rPr>
        <w:t xml:space="preserve">stabilire </w:t>
      </w:r>
      <w:r w:rsidR="00427A86">
        <w:rPr>
          <w:rFonts w:ascii="Tahoma" w:hAnsi="Tahoma" w:cs="Tahoma"/>
          <w:sz w:val="20"/>
          <w:szCs w:val="20"/>
        </w:rPr>
        <w:t xml:space="preserve">a </w:t>
      </w:r>
      <w:r>
        <w:rPr>
          <w:rFonts w:ascii="Tahoma" w:hAnsi="Tahoma" w:cs="Tahoma"/>
          <w:sz w:val="20"/>
          <w:szCs w:val="20"/>
        </w:rPr>
        <w:t>quali c</w:t>
      </w:r>
      <w:r w:rsidR="00C16992">
        <w:rPr>
          <w:rFonts w:ascii="Tahoma" w:hAnsi="Tahoma" w:cs="Tahoma"/>
          <w:sz w:val="20"/>
          <w:szCs w:val="20"/>
        </w:rPr>
        <w:t xml:space="preserve">ondizioni </w:t>
      </w:r>
      <w:r w:rsidR="00427A86">
        <w:rPr>
          <w:rFonts w:ascii="Tahoma" w:hAnsi="Tahoma" w:cs="Tahoma"/>
          <w:sz w:val="20"/>
          <w:szCs w:val="20"/>
        </w:rPr>
        <w:t>intenda</w:t>
      </w:r>
      <w:r>
        <w:rPr>
          <w:rFonts w:ascii="Tahoma" w:hAnsi="Tahoma" w:cs="Tahoma"/>
          <w:sz w:val="20"/>
          <w:szCs w:val="20"/>
        </w:rPr>
        <w:t xml:space="preserve"> accetta</w:t>
      </w:r>
      <w:r w:rsidR="00427A86">
        <w:rPr>
          <w:rFonts w:ascii="Tahoma" w:hAnsi="Tahoma" w:cs="Tahoma"/>
          <w:sz w:val="20"/>
          <w:szCs w:val="20"/>
        </w:rPr>
        <w:t>re</w:t>
      </w:r>
      <w:r w:rsidR="00C16992">
        <w:rPr>
          <w:rFonts w:ascii="Tahoma" w:hAnsi="Tahoma" w:cs="Tahoma"/>
          <w:sz w:val="20"/>
          <w:szCs w:val="20"/>
        </w:rPr>
        <w:t xml:space="preserve"> </w:t>
      </w:r>
      <w:r>
        <w:rPr>
          <w:rFonts w:ascii="Tahoma" w:hAnsi="Tahoma" w:cs="Tahoma"/>
          <w:sz w:val="20"/>
          <w:szCs w:val="20"/>
        </w:rPr>
        <w:t xml:space="preserve">la permanenza del medesimo; </w:t>
      </w:r>
    </w:p>
    <w:p w14:paraId="1FDBB87D" w14:textId="602F82C1" w:rsidR="00AA5E6B" w:rsidRPr="00271B76" w:rsidRDefault="00271B76" w:rsidP="00271B76">
      <w:pPr>
        <w:spacing w:after="0" w:line="240" w:lineRule="auto"/>
        <w:ind w:left="2520" w:firstLine="312"/>
        <w:jc w:val="both"/>
        <w:rPr>
          <w:rFonts w:eastAsia="Times New Roman"/>
        </w:rPr>
      </w:pPr>
      <w:r>
        <w:rPr>
          <w:rFonts w:ascii="Tahoma" w:hAnsi="Tahoma" w:cs="Tahoma"/>
          <w:sz w:val="20"/>
          <w:szCs w:val="20"/>
        </w:rPr>
        <w:t xml:space="preserve"> </w:t>
      </w:r>
      <w:r w:rsidR="00FF7FE7" w:rsidRPr="00271B76">
        <w:rPr>
          <w:rFonts w:ascii="Tahoma" w:hAnsi="Tahoma" w:cs="Tahoma"/>
          <w:sz w:val="20"/>
          <w:szCs w:val="20"/>
        </w:rPr>
        <w:t xml:space="preserve">a parere </w:t>
      </w:r>
      <w:r w:rsidR="003531D7" w:rsidRPr="00271B76">
        <w:rPr>
          <w:rFonts w:ascii="Tahoma" w:hAnsi="Tahoma" w:cs="Tahoma"/>
          <w:sz w:val="20"/>
          <w:szCs w:val="20"/>
        </w:rPr>
        <w:t xml:space="preserve">di ARPA </w:t>
      </w:r>
      <w:r w:rsidR="00427A86" w:rsidRPr="00271B76">
        <w:rPr>
          <w:rFonts w:ascii="Tahoma" w:hAnsi="Tahoma" w:cs="Tahoma"/>
          <w:sz w:val="20"/>
          <w:szCs w:val="20"/>
        </w:rPr>
        <w:t>le condizioni essenziali</w:t>
      </w:r>
      <w:r w:rsidR="003531D7" w:rsidRPr="00271B76">
        <w:rPr>
          <w:rFonts w:ascii="Tahoma" w:hAnsi="Tahoma" w:cs="Tahoma"/>
          <w:sz w:val="20"/>
          <w:szCs w:val="20"/>
        </w:rPr>
        <w:t xml:space="preserve"> sono:</w:t>
      </w:r>
    </w:p>
    <w:p w14:paraId="14A3AE05" w14:textId="6CFA3D33" w:rsidR="003531D7" w:rsidRPr="003531D7" w:rsidRDefault="003531D7" w:rsidP="00504B61">
      <w:pPr>
        <w:pStyle w:val="Paragrafoelenco"/>
        <w:numPr>
          <w:ilvl w:val="4"/>
          <w:numId w:val="10"/>
        </w:numPr>
        <w:spacing w:after="0" w:line="240" w:lineRule="auto"/>
        <w:jc w:val="both"/>
        <w:rPr>
          <w:rFonts w:eastAsia="Times New Roman"/>
        </w:rPr>
      </w:pPr>
      <w:r>
        <w:rPr>
          <w:rFonts w:ascii="Tahoma" w:hAnsi="Tahoma" w:cs="Tahoma"/>
          <w:sz w:val="20"/>
          <w:szCs w:val="20"/>
        </w:rPr>
        <w:t>la esecuzione</w:t>
      </w:r>
      <w:r w:rsidR="00427A86">
        <w:rPr>
          <w:rFonts w:ascii="Tahoma" w:hAnsi="Tahoma" w:cs="Tahoma"/>
          <w:sz w:val="20"/>
          <w:szCs w:val="20"/>
        </w:rPr>
        <w:t xml:space="preserve">, da parte della Proprietà del P.V., </w:t>
      </w:r>
      <w:r>
        <w:rPr>
          <w:rFonts w:ascii="Tahoma" w:hAnsi="Tahoma" w:cs="Tahoma"/>
          <w:sz w:val="20"/>
          <w:szCs w:val="20"/>
        </w:rPr>
        <w:t>di un piano di accertamenti preliminari, finalizzato a verificare se siano o meno in atto fenomeni di contaminazione del sottosuolo e della falda</w:t>
      </w:r>
      <w:r w:rsidR="00427A86">
        <w:rPr>
          <w:rFonts w:ascii="Tahoma" w:hAnsi="Tahoma" w:cs="Tahoma"/>
          <w:sz w:val="20"/>
          <w:szCs w:val="20"/>
        </w:rPr>
        <w:t>;</w:t>
      </w:r>
    </w:p>
    <w:p w14:paraId="595B6463" w14:textId="20B12500" w:rsidR="003531D7" w:rsidRPr="003531D7" w:rsidRDefault="003531D7" w:rsidP="00504B61">
      <w:pPr>
        <w:pStyle w:val="Paragrafoelenco"/>
        <w:numPr>
          <w:ilvl w:val="4"/>
          <w:numId w:val="10"/>
        </w:numPr>
        <w:spacing w:after="0" w:line="240" w:lineRule="auto"/>
        <w:jc w:val="both"/>
        <w:rPr>
          <w:rFonts w:eastAsia="Times New Roman"/>
        </w:rPr>
      </w:pPr>
      <w:r>
        <w:rPr>
          <w:rFonts w:ascii="Tahoma" w:hAnsi="Tahoma" w:cs="Tahoma"/>
          <w:sz w:val="20"/>
          <w:szCs w:val="20"/>
        </w:rPr>
        <w:t>in caso di inquinamento in atto</w:t>
      </w:r>
      <w:r w:rsidR="00427A86">
        <w:rPr>
          <w:rFonts w:ascii="Tahoma" w:hAnsi="Tahoma" w:cs="Tahoma"/>
          <w:sz w:val="20"/>
          <w:szCs w:val="20"/>
        </w:rPr>
        <w:t xml:space="preserve">, la </w:t>
      </w:r>
      <w:r>
        <w:rPr>
          <w:rFonts w:ascii="Tahoma" w:hAnsi="Tahoma" w:cs="Tahoma"/>
          <w:sz w:val="20"/>
          <w:szCs w:val="20"/>
        </w:rPr>
        <w:t>attiva</w:t>
      </w:r>
      <w:r w:rsidR="00427A86">
        <w:rPr>
          <w:rFonts w:ascii="Tahoma" w:hAnsi="Tahoma" w:cs="Tahoma"/>
          <w:sz w:val="20"/>
          <w:szCs w:val="20"/>
        </w:rPr>
        <w:t>zione</w:t>
      </w:r>
      <w:r w:rsidR="00271B76">
        <w:rPr>
          <w:rFonts w:ascii="Tahoma" w:hAnsi="Tahoma" w:cs="Tahoma"/>
          <w:sz w:val="20"/>
          <w:szCs w:val="20"/>
        </w:rPr>
        <w:t>,</w:t>
      </w:r>
      <w:r w:rsidR="00427A86">
        <w:rPr>
          <w:rFonts w:ascii="Tahoma" w:hAnsi="Tahoma" w:cs="Tahoma"/>
          <w:sz w:val="20"/>
          <w:szCs w:val="20"/>
        </w:rPr>
        <w:t xml:space="preserve"> i</w:t>
      </w:r>
      <w:r w:rsidR="00271B76">
        <w:rPr>
          <w:rFonts w:ascii="Tahoma" w:hAnsi="Tahoma" w:cs="Tahoma"/>
          <w:sz w:val="20"/>
          <w:szCs w:val="20"/>
        </w:rPr>
        <w:t xml:space="preserve">n tempi brevissimi, </w:t>
      </w:r>
      <w:r w:rsidR="00427A86">
        <w:rPr>
          <w:rFonts w:ascii="Tahoma" w:hAnsi="Tahoma" w:cs="Tahoma"/>
          <w:sz w:val="20"/>
          <w:szCs w:val="20"/>
        </w:rPr>
        <w:t>di</w:t>
      </w:r>
      <w:r>
        <w:rPr>
          <w:rFonts w:ascii="Tahoma" w:hAnsi="Tahoma" w:cs="Tahoma"/>
          <w:sz w:val="20"/>
          <w:szCs w:val="20"/>
        </w:rPr>
        <w:t xml:space="preserve"> una M</w:t>
      </w:r>
      <w:r w:rsidR="002E6C91">
        <w:rPr>
          <w:rFonts w:ascii="Tahoma" w:hAnsi="Tahoma" w:cs="Tahoma"/>
          <w:sz w:val="20"/>
          <w:szCs w:val="20"/>
        </w:rPr>
        <w:t>.</w:t>
      </w:r>
      <w:r>
        <w:rPr>
          <w:rFonts w:ascii="Tahoma" w:hAnsi="Tahoma" w:cs="Tahoma"/>
          <w:sz w:val="20"/>
          <w:szCs w:val="20"/>
        </w:rPr>
        <w:t>I</w:t>
      </w:r>
      <w:r w:rsidR="002E6C91">
        <w:rPr>
          <w:rFonts w:ascii="Tahoma" w:hAnsi="Tahoma" w:cs="Tahoma"/>
          <w:sz w:val="20"/>
          <w:szCs w:val="20"/>
        </w:rPr>
        <w:t>.</w:t>
      </w:r>
      <w:r>
        <w:rPr>
          <w:rFonts w:ascii="Tahoma" w:hAnsi="Tahoma" w:cs="Tahoma"/>
          <w:sz w:val="20"/>
          <w:szCs w:val="20"/>
        </w:rPr>
        <w:t>S</w:t>
      </w:r>
      <w:r w:rsidR="002E6C91">
        <w:rPr>
          <w:rFonts w:ascii="Tahoma" w:hAnsi="Tahoma" w:cs="Tahoma"/>
          <w:sz w:val="20"/>
          <w:szCs w:val="20"/>
        </w:rPr>
        <w:t>.</w:t>
      </w:r>
      <w:r>
        <w:rPr>
          <w:rFonts w:ascii="Tahoma" w:hAnsi="Tahoma" w:cs="Tahoma"/>
          <w:sz w:val="20"/>
          <w:szCs w:val="20"/>
        </w:rPr>
        <w:t>O</w:t>
      </w:r>
      <w:r w:rsidR="002E6C91">
        <w:rPr>
          <w:rFonts w:ascii="Tahoma" w:hAnsi="Tahoma" w:cs="Tahoma"/>
          <w:sz w:val="20"/>
          <w:szCs w:val="20"/>
        </w:rPr>
        <w:t>. (messa in sicurezza operativa)</w:t>
      </w:r>
      <w:r>
        <w:rPr>
          <w:rFonts w:ascii="Tahoma" w:hAnsi="Tahoma" w:cs="Tahoma"/>
          <w:sz w:val="20"/>
          <w:szCs w:val="20"/>
        </w:rPr>
        <w:t>, decidendo successivamente se attivare una bonifica vera e propria, con rimozione dei serbatoi e del terreno contaminato</w:t>
      </w:r>
      <w:r w:rsidR="0067518B">
        <w:rPr>
          <w:rFonts w:ascii="Tahoma" w:hAnsi="Tahoma" w:cs="Tahoma"/>
          <w:sz w:val="20"/>
          <w:szCs w:val="20"/>
        </w:rPr>
        <w:t>;</w:t>
      </w:r>
    </w:p>
    <w:p w14:paraId="2F2BBA16" w14:textId="77777777" w:rsidR="00504B61" w:rsidRPr="00504B61" w:rsidRDefault="003531D7" w:rsidP="00504B61">
      <w:pPr>
        <w:pStyle w:val="Paragrafoelenco"/>
        <w:numPr>
          <w:ilvl w:val="4"/>
          <w:numId w:val="10"/>
        </w:numPr>
        <w:spacing w:after="0" w:line="240" w:lineRule="auto"/>
        <w:jc w:val="both"/>
        <w:rPr>
          <w:rFonts w:eastAsia="Times New Roman"/>
        </w:rPr>
      </w:pPr>
      <w:r>
        <w:rPr>
          <w:rFonts w:ascii="Tahoma" w:hAnsi="Tahoma" w:cs="Tahoma"/>
          <w:sz w:val="20"/>
          <w:szCs w:val="20"/>
        </w:rPr>
        <w:t>in caso l’inquinamento non sia in atto</w:t>
      </w:r>
      <w:r w:rsidR="00504B61">
        <w:rPr>
          <w:rFonts w:ascii="Tahoma" w:hAnsi="Tahoma" w:cs="Tahoma"/>
          <w:sz w:val="20"/>
          <w:szCs w:val="20"/>
        </w:rPr>
        <w:t>:</w:t>
      </w:r>
    </w:p>
    <w:p w14:paraId="0B8D8485" w14:textId="1F24B0FE" w:rsidR="00504B61" w:rsidRPr="00504B61" w:rsidRDefault="00504B61" w:rsidP="00504B61">
      <w:pPr>
        <w:pStyle w:val="Paragrafoelenco"/>
        <w:numPr>
          <w:ilvl w:val="5"/>
          <w:numId w:val="4"/>
        </w:numPr>
        <w:spacing w:after="0" w:line="240" w:lineRule="auto"/>
        <w:jc w:val="both"/>
        <w:rPr>
          <w:rFonts w:eastAsia="Times New Roman"/>
        </w:rPr>
      </w:pPr>
      <w:r>
        <w:rPr>
          <w:rFonts w:ascii="Tahoma" w:hAnsi="Tahoma" w:cs="Tahoma"/>
          <w:sz w:val="20"/>
          <w:szCs w:val="20"/>
        </w:rPr>
        <w:t xml:space="preserve">acquisire la asseverazione, da parte della Proprietà, delle condizioni strutturali delle fognature del P.V., in ottemperanza a quanto previsto dalla DGR </w:t>
      </w:r>
      <w:r w:rsidRPr="00504B61">
        <w:rPr>
          <w:rFonts w:ascii="Tahoma" w:hAnsi="Tahoma" w:cs="Tahoma"/>
          <w:sz w:val="20"/>
          <w:szCs w:val="20"/>
        </w:rPr>
        <w:t>12693</w:t>
      </w:r>
      <w:r w:rsidR="002E6C91">
        <w:rPr>
          <w:rFonts w:ascii="Tahoma" w:hAnsi="Tahoma" w:cs="Tahoma"/>
          <w:sz w:val="20"/>
          <w:szCs w:val="20"/>
        </w:rPr>
        <w:t>/</w:t>
      </w:r>
      <w:r w:rsidRPr="00504B61">
        <w:rPr>
          <w:rFonts w:ascii="Tahoma" w:hAnsi="Tahoma" w:cs="Tahoma"/>
          <w:sz w:val="20"/>
          <w:szCs w:val="20"/>
        </w:rPr>
        <w:t>2003</w:t>
      </w:r>
    </w:p>
    <w:p w14:paraId="143FBAAD" w14:textId="36FC63CD" w:rsidR="003531D7" w:rsidRPr="003531D7" w:rsidRDefault="003531D7" w:rsidP="00504B61">
      <w:pPr>
        <w:pStyle w:val="Paragrafoelenco"/>
        <w:numPr>
          <w:ilvl w:val="5"/>
          <w:numId w:val="4"/>
        </w:numPr>
        <w:spacing w:after="0" w:line="240" w:lineRule="auto"/>
        <w:jc w:val="both"/>
        <w:rPr>
          <w:rFonts w:eastAsia="Times New Roman"/>
        </w:rPr>
      </w:pPr>
      <w:r>
        <w:rPr>
          <w:rFonts w:ascii="Tahoma" w:hAnsi="Tahoma" w:cs="Tahoma"/>
          <w:sz w:val="20"/>
          <w:szCs w:val="20"/>
        </w:rPr>
        <w:t xml:space="preserve">stabilire comunque un idoneo piano di monitoraggio periodico della falda, in modo da riscontrare eventuali fenomeni di inquinamento prima che gli stessi </w:t>
      </w:r>
      <w:r w:rsidR="00427A86">
        <w:rPr>
          <w:rFonts w:ascii="Tahoma" w:hAnsi="Tahoma" w:cs="Tahoma"/>
          <w:sz w:val="20"/>
          <w:szCs w:val="20"/>
        </w:rPr>
        <w:t xml:space="preserve">vadano ad interessare </w:t>
      </w:r>
      <w:r>
        <w:rPr>
          <w:rFonts w:ascii="Tahoma" w:hAnsi="Tahoma" w:cs="Tahoma"/>
          <w:sz w:val="20"/>
          <w:szCs w:val="20"/>
        </w:rPr>
        <w:t>l’acquifero captato ad uso potabile</w:t>
      </w:r>
      <w:r w:rsidR="00427A86">
        <w:rPr>
          <w:rFonts w:ascii="Tahoma" w:hAnsi="Tahoma" w:cs="Tahoma"/>
          <w:sz w:val="20"/>
          <w:szCs w:val="20"/>
        </w:rPr>
        <w:t>;</w:t>
      </w:r>
    </w:p>
    <w:p w14:paraId="14878817" w14:textId="5BCEB072" w:rsidR="003531D7" w:rsidRPr="00427A86" w:rsidRDefault="003531D7" w:rsidP="00504B61">
      <w:pPr>
        <w:spacing w:after="0" w:line="240" w:lineRule="auto"/>
        <w:ind w:left="3540"/>
        <w:jc w:val="both"/>
        <w:rPr>
          <w:rFonts w:eastAsia="Times New Roman"/>
        </w:rPr>
      </w:pPr>
      <w:r w:rsidRPr="00427A86">
        <w:rPr>
          <w:rFonts w:ascii="Tahoma" w:hAnsi="Tahoma" w:cs="Tahoma"/>
          <w:sz w:val="20"/>
          <w:szCs w:val="20"/>
        </w:rPr>
        <w:t>quest</w:t>
      </w:r>
      <w:r w:rsidR="00427A86">
        <w:rPr>
          <w:rFonts w:ascii="Tahoma" w:hAnsi="Tahoma" w:cs="Tahoma"/>
          <w:sz w:val="20"/>
          <w:szCs w:val="20"/>
        </w:rPr>
        <w:t xml:space="preserve">i ultimi tre punti </w:t>
      </w:r>
      <w:r w:rsidR="00504B61">
        <w:rPr>
          <w:rFonts w:ascii="Tahoma" w:hAnsi="Tahoma" w:cs="Tahoma"/>
          <w:sz w:val="20"/>
          <w:szCs w:val="20"/>
        </w:rPr>
        <w:t xml:space="preserve">(i, ii, iii) </w:t>
      </w:r>
      <w:r w:rsidR="00427A86">
        <w:rPr>
          <w:rFonts w:ascii="Tahoma" w:hAnsi="Tahoma" w:cs="Tahoma"/>
          <w:sz w:val="20"/>
          <w:szCs w:val="20"/>
        </w:rPr>
        <w:t xml:space="preserve">ricadono nei procedimenti di bonifica, per cui è previsto </w:t>
      </w:r>
      <w:r w:rsidR="00427A86" w:rsidRPr="002F1E7E">
        <w:rPr>
          <w:rFonts w:ascii="Tahoma" w:hAnsi="Tahoma" w:cs="Tahoma"/>
          <w:sz w:val="20"/>
          <w:szCs w:val="20"/>
        </w:rPr>
        <w:t>il supporto di ARPA</w:t>
      </w:r>
      <w:r w:rsidR="00427A86">
        <w:rPr>
          <w:rFonts w:ascii="Tahoma" w:hAnsi="Tahoma" w:cs="Tahoma"/>
          <w:sz w:val="20"/>
          <w:szCs w:val="20"/>
        </w:rPr>
        <w:t>, secondo le consuete procedure.</w:t>
      </w:r>
      <w:r w:rsidRPr="00427A86">
        <w:rPr>
          <w:rFonts w:ascii="Tahoma" w:hAnsi="Tahoma" w:cs="Tahoma"/>
          <w:sz w:val="20"/>
          <w:szCs w:val="20"/>
        </w:rPr>
        <w:t xml:space="preserve">  </w:t>
      </w:r>
    </w:p>
    <w:p w14:paraId="0334967D" w14:textId="1212D48A" w:rsidR="00DD69B8" w:rsidRDefault="00DD69B8" w:rsidP="00473052">
      <w:pPr>
        <w:spacing w:after="0" w:line="240" w:lineRule="auto"/>
        <w:ind w:left="360"/>
        <w:rPr>
          <w:rFonts w:eastAsia="Times New Roman"/>
        </w:rPr>
      </w:pPr>
    </w:p>
    <w:p w14:paraId="284F25AA" w14:textId="77777777" w:rsidR="007748F3" w:rsidRDefault="00FE04A4" w:rsidP="00FE04A4">
      <w:pPr>
        <w:spacing w:after="0" w:line="240" w:lineRule="auto"/>
        <w:rPr>
          <w:rFonts w:eastAsia="Times New Roman"/>
        </w:rPr>
      </w:pPr>
      <w:r>
        <w:rPr>
          <w:rFonts w:eastAsia="Times New Roman"/>
        </w:rPr>
        <w:t xml:space="preserve"> </w:t>
      </w:r>
    </w:p>
    <w:p w14:paraId="578676E0" w14:textId="77777777" w:rsidR="007748F3" w:rsidRDefault="007748F3" w:rsidP="00FE04A4">
      <w:pPr>
        <w:spacing w:after="0" w:line="240" w:lineRule="auto"/>
        <w:rPr>
          <w:rFonts w:eastAsia="Times New Roman"/>
        </w:rPr>
      </w:pPr>
    </w:p>
    <w:p w14:paraId="177F2F11" w14:textId="7F64C27F" w:rsidR="00FE04A4" w:rsidRDefault="00FE04A4" w:rsidP="00FE04A4">
      <w:pPr>
        <w:spacing w:after="0" w:line="240" w:lineRule="auto"/>
        <w:rPr>
          <w:rFonts w:eastAsia="Times New Roman"/>
        </w:rPr>
      </w:pPr>
      <w:r>
        <w:rPr>
          <w:rFonts w:eastAsia="Times New Roman"/>
        </w:rPr>
        <w:t xml:space="preserve"> </w:t>
      </w:r>
    </w:p>
    <w:p w14:paraId="77707890" w14:textId="7B9426AA" w:rsidR="00FE04A4" w:rsidRPr="00FE04A4" w:rsidRDefault="00FE04A4" w:rsidP="00FE04A4">
      <w:pPr>
        <w:spacing w:after="0" w:line="240" w:lineRule="auto"/>
        <w:rPr>
          <w:rFonts w:eastAsia="Times New Roman"/>
        </w:rPr>
      </w:pPr>
      <w:r>
        <w:rPr>
          <w:rFonts w:eastAsia="Times New Roman"/>
        </w:rPr>
        <w:t xml:space="preserve"> </w:t>
      </w:r>
    </w:p>
    <w:sectPr w:rsidR="00FE04A4" w:rsidRPr="00FE04A4">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F53C" w14:textId="77777777" w:rsidR="00771E6E" w:rsidRDefault="00771E6E" w:rsidP="00E05393">
      <w:pPr>
        <w:spacing w:after="0" w:line="240" w:lineRule="auto"/>
      </w:pPr>
      <w:r>
        <w:separator/>
      </w:r>
    </w:p>
  </w:endnote>
  <w:endnote w:type="continuationSeparator" w:id="0">
    <w:p w14:paraId="3B465569" w14:textId="77777777" w:rsidR="00771E6E" w:rsidRDefault="00771E6E" w:rsidP="00E0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02848"/>
      <w:docPartObj>
        <w:docPartGallery w:val="Page Numbers (Bottom of Page)"/>
        <w:docPartUnique/>
      </w:docPartObj>
    </w:sdtPr>
    <w:sdtContent>
      <w:p w14:paraId="43A1BC48" w14:textId="3E611F89" w:rsidR="00E05393" w:rsidRDefault="00E05393">
        <w:pPr>
          <w:pStyle w:val="Pidipagina"/>
        </w:pPr>
        <w:r>
          <w:rPr>
            <w:noProof/>
          </w:rPr>
          <mc:AlternateContent>
            <mc:Choice Requires="wps">
              <w:drawing>
                <wp:anchor distT="0" distB="0" distL="114300" distR="114300" simplePos="0" relativeHeight="251659264" behindDoc="0" locked="0" layoutInCell="1" allowOverlap="1" wp14:anchorId="39069105" wp14:editId="6C7C5D5A">
                  <wp:simplePos x="0" y="0"/>
                  <wp:positionH relativeFrom="margin">
                    <wp:align>center</wp:align>
                  </wp:positionH>
                  <wp:positionV relativeFrom="bottomMargin">
                    <wp:align>center</wp:align>
                  </wp:positionV>
                  <wp:extent cx="561975" cy="561975"/>
                  <wp:effectExtent l="9525" t="9525" r="9525"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BF63E43" w14:textId="77777777" w:rsidR="00E05393" w:rsidRDefault="00E05393">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9069105"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4BF63E43" w14:textId="77777777" w:rsidR="00E05393" w:rsidRDefault="00E05393">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64A3" w14:textId="77777777" w:rsidR="00771E6E" w:rsidRDefault="00771E6E" w:rsidP="00E05393">
      <w:pPr>
        <w:spacing w:after="0" w:line="240" w:lineRule="auto"/>
      </w:pPr>
      <w:r>
        <w:separator/>
      </w:r>
    </w:p>
  </w:footnote>
  <w:footnote w:type="continuationSeparator" w:id="0">
    <w:p w14:paraId="2DC76113" w14:textId="77777777" w:rsidR="00771E6E" w:rsidRDefault="00771E6E" w:rsidP="00E05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2FF"/>
    <w:multiLevelType w:val="hybridMultilevel"/>
    <w:tmpl w:val="00B2F16E"/>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7">
      <w:start w:val="1"/>
      <w:numFmt w:val="lowerLetter"/>
      <w:lvlText w:val="%3)"/>
      <w:lvlJc w:val="left"/>
      <w:pPr>
        <w:ind w:left="2160" w:hanging="360"/>
      </w:pPr>
      <w:rPr>
        <w:rFonts w:hint="default"/>
      </w:rPr>
    </w:lvl>
    <w:lvl w:ilvl="3" w:tplc="04100013">
      <w:start w:val="1"/>
      <w:numFmt w:val="upperRoman"/>
      <w:lvlText w:val="%4."/>
      <w:lvlJc w:val="right"/>
      <w:pPr>
        <w:ind w:left="2880" w:hanging="360"/>
      </w:pPr>
      <w:rPr>
        <w:rFonts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8F0E33"/>
    <w:multiLevelType w:val="hybridMultilevel"/>
    <w:tmpl w:val="ED58DA08"/>
    <w:lvl w:ilvl="0" w:tplc="C97AD6A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2E02303F"/>
    <w:multiLevelType w:val="hybridMultilevel"/>
    <w:tmpl w:val="5058CC22"/>
    <w:lvl w:ilvl="0" w:tplc="9EFCA1F8">
      <w:start w:val="1"/>
      <w:numFmt w:val="decimal"/>
      <w:lvlText w:val="%1."/>
      <w:lvlJc w:val="left"/>
      <w:pPr>
        <w:ind w:left="1776"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2FAE67F0"/>
    <w:multiLevelType w:val="hybridMultilevel"/>
    <w:tmpl w:val="3FA6578C"/>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 w15:restartNumberingAfterBreak="0">
    <w:nsid w:val="3C8B5AF9"/>
    <w:multiLevelType w:val="hybridMultilevel"/>
    <w:tmpl w:val="B144E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9A409B"/>
    <w:multiLevelType w:val="hybridMultilevel"/>
    <w:tmpl w:val="74508794"/>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7">
      <w:start w:val="1"/>
      <w:numFmt w:val="lowerLetter"/>
      <w:lvlText w:val="%3)"/>
      <w:lvlJc w:val="left"/>
      <w:pPr>
        <w:ind w:left="2160" w:hanging="360"/>
      </w:pPr>
      <w:rPr>
        <w:rFonts w:hint="default"/>
      </w:rPr>
    </w:lvl>
    <w:lvl w:ilvl="3" w:tplc="04100001">
      <w:start w:val="1"/>
      <w:numFmt w:val="bullet"/>
      <w:lvlText w:val=""/>
      <w:lvlJc w:val="left"/>
      <w:pPr>
        <w:ind w:left="2880" w:hanging="360"/>
      </w:pPr>
      <w:rPr>
        <w:rFonts w:ascii="Symbol" w:hAnsi="Symbol" w:hint="default"/>
      </w:rPr>
    </w:lvl>
    <w:lvl w:ilvl="4" w:tplc="0410001B">
      <w:start w:val="1"/>
      <w:numFmt w:val="lowerRoman"/>
      <w:lvlText w:val="%5."/>
      <w:lvlJc w:val="right"/>
      <w:pPr>
        <w:ind w:left="3600" w:hanging="360"/>
      </w:pPr>
      <w:rPr>
        <w:rFonts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DB4375B"/>
    <w:multiLevelType w:val="hybridMultilevel"/>
    <w:tmpl w:val="AAAAD4B0"/>
    <w:lvl w:ilvl="0" w:tplc="193C929A">
      <w:start w:val="1"/>
      <w:numFmt w:val="decimal"/>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1536CE"/>
    <w:multiLevelType w:val="hybridMultilevel"/>
    <w:tmpl w:val="967A7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D23C2F"/>
    <w:multiLevelType w:val="hybridMultilevel"/>
    <w:tmpl w:val="9AD45164"/>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7">
      <w:start w:val="1"/>
      <w:numFmt w:val="lowerLetter"/>
      <w:lvlText w:val="%3)"/>
      <w:lvlJc w:val="left"/>
      <w:pPr>
        <w:ind w:left="2160" w:hanging="360"/>
      </w:pPr>
      <w:rPr>
        <w:rFont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52F5CFB"/>
    <w:multiLevelType w:val="hybridMultilevel"/>
    <w:tmpl w:val="B7D05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D811776"/>
    <w:multiLevelType w:val="hybridMultilevel"/>
    <w:tmpl w:val="7980BBAE"/>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7">
      <w:start w:val="1"/>
      <w:numFmt w:val="lowerLetter"/>
      <w:lvlText w:val="%3)"/>
      <w:lvlJc w:val="left"/>
      <w:pPr>
        <w:ind w:left="2160" w:hanging="360"/>
      </w:pPr>
      <w:rPr>
        <w:rFont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77280515">
    <w:abstractNumId w:val="4"/>
  </w:num>
  <w:num w:numId="2" w16cid:durableId="2108574191">
    <w:abstractNumId w:val="7"/>
  </w:num>
  <w:num w:numId="3" w16cid:durableId="1866090024">
    <w:abstractNumId w:val="9"/>
  </w:num>
  <w:num w:numId="4" w16cid:durableId="1711875343">
    <w:abstractNumId w:val="8"/>
  </w:num>
  <w:num w:numId="5" w16cid:durableId="2003312247">
    <w:abstractNumId w:val="8"/>
  </w:num>
  <w:num w:numId="6" w16cid:durableId="1907257469">
    <w:abstractNumId w:val="2"/>
  </w:num>
  <w:num w:numId="7" w16cid:durableId="1445150753">
    <w:abstractNumId w:val="10"/>
  </w:num>
  <w:num w:numId="8" w16cid:durableId="1156147719">
    <w:abstractNumId w:val="3"/>
  </w:num>
  <w:num w:numId="9" w16cid:durableId="1382174998">
    <w:abstractNumId w:val="0"/>
  </w:num>
  <w:num w:numId="10" w16cid:durableId="1845627158">
    <w:abstractNumId w:val="5"/>
  </w:num>
  <w:num w:numId="11" w16cid:durableId="1801536753">
    <w:abstractNumId w:val="1"/>
  </w:num>
  <w:num w:numId="12" w16cid:durableId="531308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A4"/>
    <w:rsid w:val="00004735"/>
    <w:rsid w:val="000206C7"/>
    <w:rsid w:val="0003665E"/>
    <w:rsid w:val="00055201"/>
    <w:rsid w:val="00083CB9"/>
    <w:rsid w:val="00095006"/>
    <w:rsid w:val="000A1F39"/>
    <w:rsid w:val="000D66D6"/>
    <w:rsid w:val="00126C93"/>
    <w:rsid w:val="001275EE"/>
    <w:rsid w:val="00150EA9"/>
    <w:rsid w:val="001576C2"/>
    <w:rsid w:val="00174B1D"/>
    <w:rsid w:val="001B50A4"/>
    <w:rsid w:val="001E2EF1"/>
    <w:rsid w:val="00211CCC"/>
    <w:rsid w:val="00215B59"/>
    <w:rsid w:val="002163E0"/>
    <w:rsid w:val="00223BA9"/>
    <w:rsid w:val="00254AE9"/>
    <w:rsid w:val="00271B76"/>
    <w:rsid w:val="0028105A"/>
    <w:rsid w:val="00282675"/>
    <w:rsid w:val="002A674B"/>
    <w:rsid w:val="002D4C69"/>
    <w:rsid w:val="002E15EC"/>
    <w:rsid w:val="002E49AC"/>
    <w:rsid w:val="002E6C91"/>
    <w:rsid w:val="002F1E7E"/>
    <w:rsid w:val="0030457E"/>
    <w:rsid w:val="003104C5"/>
    <w:rsid w:val="0032705D"/>
    <w:rsid w:val="00331A34"/>
    <w:rsid w:val="00336ACE"/>
    <w:rsid w:val="003531D7"/>
    <w:rsid w:val="003620B8"/>
    <w:rsid w:val="003664FC"/>
    <w:rsid w:val="00382625"/>
    <w:rsid w:val="003D2FA3"/>
    <w:rsid w:val="00427A86"/>
    <w:rsid w:val="00446CE9"/>
    <w:rsid w:val="004569BD"/>
    <w:rsid w:val="00473052"/>
    <w:rsid w:val="004A6FAB"/>
    <w:rsid w:val="004C67B2"/>
    <w:rsid w:val="004C758C"/>
    <w:rsid w:val="00504B61"/>
    <w:rsid w:val="00506FC4"/>
    <w:rsid w:val="00514B9A"/>
    <w:rsid w:val="00530081"/>
    <w:rsid w:val="00562CF7"/>
    <w:rsid w:val="0057278F"/>
    <w:rsid w:val="005B299F"/>
    <w:rsid w:val="005D1D94"/>
    <w:rsid w:val="005D3096"/>
    <w:rsid w:val="005D46C9"/>
    <w:rsid w:val="005F0104"/>
    <w:rsid w:val="0060455B"/>
    <w:rsid w:val="00631ACC"/>
    <w:rsid w:val="0063257F"/>
    <w:rsid w:val="00646C04"/>
    <w:rsid w:val="0067518B"/>
    <w:rsid w:val="006B6898"/>
    <w:rsid w:val="006C70B6"/>
    <w:rsid w:val="006F2855"/>
    <w:rsid w:val="006F71E6"/>
    <w:rsid w:val="00710A9C"/>
    <w:rsid w:val="0074531F"/>
    <w:rsid w:val="00755D5B"/>
    <w:rsid w:val="00771E6E"/>
    <w:rsid w:val="007748F3"/>
    <w:rsid w:val="007801B3"/>
    <w:rsid w:val="007803A3"/>
    <w:rsid w:val="007A430F"/>
    <w:rsid w:val="007A74C8"/>
    <w:rsid w:val="007C03B8"/>
    <w:rsid w:val="007C3E32"/>
    <w:rsid w:val="00821A96"/>
    <w:rsid w:val="00823950"/>
    <w:rsid w:val="00841108"/>
    <w:rsid w:val="008625E4"/>
    <w:rsid w:val="00866DA2"/>
    <w:rsid w:val="008801FB"/>
    <w:rsid w:val="00890C62"/>
    <w:rsid w:val="00894151"/>
    <w:rsid w:val="008B1906"/>
    <w:rsid w:val="008C0B6A"/>
    <w:rsid w:val="008C2B3C"/>
    <w:rsid w:val="008C5B8B"/>
    <w:rsid w:val="008D7291"/>
    <w:rsid w:val="008F6229"/>
    <w:rsid w:val="00914EDE"/>
    <w:rsid w:val="00944AF3"/>
    <w:rsid w:val="009506EA"/>
    <w:rsid w:val="00967D2C"/>
    <w:rsid w:val="009714A4"/>
    <w:rsid w:val="00996167"/>
    <w:rsid w:val="009B0A90"/>
    <w:rsid w:val="009C12B9"/>
    <w:rsid w:val="009C1E8B"/>
    <w:rsid w:val="009D14F1"/>
    <w:rsid w:val="00A4765B"/>
    <w:rsid w:val="00A6687D"/>
    <w:rsid w:val="00AA44AF"/>
    <w:rsid w:val="00AA5E6B"/>
    <w:rsid w:val="00AB0200"/>
    <w:rsid w:val="00AB7910"/>
    <w:rsid w:val="00AB7B89"/>
    <w:rsid w:val="00AE48DF"/>
    <w:rsid w:val="00B05A26"/>
    <w:rsid w:val="00B14F07"/>
    <w:rsid w:val="00B5195E"/>
    <w:rsid w:val="00B679BD"/>
    <w:rsid w:val="00B709A2"/>
    <w:rsid w:val="00BB6569"/>
    <w:rsid w:val="00BB7967"/>
    <w:rsid w:val="00BF7CFE"/>
    <w:rsid w:val="00C10992"/>
    <w:rsid w:val="00C16992"/>
    <w:rsid w:val="00C20437"/>
    <w:rsid w:val="00C500B4"/>
    <w:rsid w:val="00C617AD"/>
    <w:rsid w:val="00C7486F"/>
    <w:rsid w:val="00C827D4"/>
    <w:rsid w:val="00C965C6"/>
    <w:rsid w:val="00CE084B"/>
    <w:rsid w:val="00CF23F5"/>
    <w:rsid w:val="00CF429A"/>
    <w:rsid w:val="00CF455F"/>
    <w:rsid w:val="00CF6A31"/>
    <w:rsid w:val="00D02632"/>
    <w:rsid w:val="00D156AE"/>
    <w:rsid w:val="00D64244"/>
    <w:rsid w:val="00D64938"/>
    <w:rsid w:val="00D834DE"/>
    <w:rsid w:val="00DC719C"/>
    <w:rsid w:val="00DC79F5"/>
    <w:rsid w:val="00DD309E"/>
    <w:rsid w:val="00DD69B8"/>
    <w:rsid w:val="00DF407D"/>
    <w:rsid w:val="00E05393"/>
    <w:rsid w:val="00E26931"/>
    <w:rsid w:val="00E301E0"/>
    <w:rsid w:val="00E6223B"/>
    <w:rsid w:val="00E71540"/>
    <w:rsid w:val="00E802B8"/>
    <w:rsid w:val="00E837D2"/>
    <w:rsid w:val="00EB6E84"/>
    <w:rsid w:val="00EC39E9"/>
    <w:rsid w:val="00EC46F2"/>
    <w:rsid w:val="00ED1798"/>
    <w:rsid w:val="00ED2D2A"/>
    <w:rsid w:val="00EE4A59"/>
    <w:rsid w:val="00F32AD3"/>
    <w:rsid w:val="00F54F35"/>
    <w:rsid w:val="00F75CE1"/>
    <w:rsid w:val="00F86B68"/>
    <w:rsid w:val="00FA026F"/>
    <w:rsid w:val="00FD17C2"/>
    <w:rsid w:val="00FE04A4"/>
    <w:rsid w:val="00FF13E0"/>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F2D2"/>
  <w15:chartTrackingRefBased/>
  <w15:docId w15:val="{BC780B36-C9F3-449B-A09A-747F4E2B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50A4"/>
    <w:pPr>
      <w:ind w:left="720"/>
      <w:contextualSpacing/>
    </w:pPr>
  </w:style>
  <w:style w:type="paragraph" w:styleId="Intestazione">
    <w:name w:val="header"/>
    <w:basedOn w:val="Normale"/>
    <w:link w:val="IntestazioneCarattere"/>
    <w:uiPriority w:val="99"/>
    <w:unhideWhenUsed/>
    <w:rsid w:val="00E053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5393"/>
  </w:style>
  <w:style w:type="paragraph" w:styleId="Pidipagina">
    <w:name w:val="footer"/>
    <w:basedOn w:val="Normale"/>
    <w:link w:val="PidipaginaCarattere"/>
    <w:uiPriority w:val="99"/>
    <w:unhideWhenUsed/>
    <w:rsid w:val="00E053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5393"/>
  </w:style>
  <w:style w:type="character" w:styleId="Collegamentoipertestuale">
    <w:name w:val="Hyperlink"/>
    <w:basedOn w:val="Carpredefinitoparagrafo"/>
    <w:uiPriority w:val="99"/>
    <w:semiHidden/>
    <w:unhideWhenUsed/>
    <w:rsid w:val="003104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38697">
      <w:bodyDiv w:val="1"/>
      <w:marLeft w:val="0"/>
      <w:marRight w:val="0"/>
      <w:marTop w:val="0"/>
      <w:marBottom w:val="0"/>
      <w:divBdr>
        <w:top w:val="none" w:sz="0" w:space="0" w:color="auto"/>
        <w:left w:val="none" w:sz="0" w:space="0" w:color="auto"/>
        <w:bottom w:val="none" w:sz="0" w:space="0" w:color="auto"/>
        <w:right w:val="none" w:sz="0" w:space="0" w:color="auto"/>
      </w:divBdr>
    </w:div>
    <w:div w:id="21286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lombardia.it/Pages/Tariffario.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D3D8-48A2-48E5-9B37-F16801E5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2848</Words>
  <Characters>16240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ROCCO WALTER CARMINE</dc:creator>
  <cp:keywords/>
  <dc:description/>
  <cp:lastModifiedBy>Alessandro Canevari</cp:lastModifiedBy>
  <cp:revision>2</cp:revision>
  <dcterms:created xsi:type="dcterms:W3CDTF">2025-06-10T08:00:00Z</dcterms:created>
  <dcterms:modified xsi:type="dcterms:W3CDTF">2025-06-10T08:00:00Z</dcterms:modified>
</cp:coreProperties>
</file>